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CE" w:rsidRDefault="007512CE"/>
    <w:tbl>
      <w:tblPr>
        <w:tblStyle w:val="TableGrid"/>
        <w:tblW w:w="13433" w:type="dxa"/>
        <w:tblLayout w:type="fixed"/>
        <w:tblLook w:val="04A0" w:firstRow="1" w:lastRow="0" w:firstColumn="1" w:lastColumn="0" w:noHBand="0" w:noVBand="1"/>
      </w:tblPr>
      <w:tblGrid>
        <w:gridCol w:w="6716"/>
        <w:gridCol w:w="6717"/>
      </w:tblGrid>
      <w:tr w:rsidR="007D3126" w:rsidRPr="00290A48" w:rsidTr="007512CE">
        <w:trPr>
          <w:trHeight w:val="540"/>
        </w:trPr>
        <w:tc>
          <w:tcPr>
            <w:tcW w:w="13433" w:type="dxa"/>
            <w:gridSpan w:val="2"/>
            <w:shd w:val="clear" w:color="auto" w:fill="92D050"/>
            <w:noWrap/>
          </w:tcPr>
          <w:p w:rsidR="004C1529" w:rsidRDefault="00F43FA1" w:rsidP="00F43FA1">
            <w:pPr>
              <w:tabs>
                <w:tab w:val="left" w:pos="11180"/>
              </w:tabs>
              <w:spacing w:line="280" w:lineRule="exact"/>
              <w:rPr>
                <w:b/>
                <w:i/>
                <w:color w:val="FFFFFF" w:themeColor="background1"/>
                <w:sz w:val="28"/>
                <w:szCs w:val="18"/>
                <w:lang w:val="nl-NL"/>
              </w:rPr>
            </w:pPr>
            <w:r>
              <w:rPr>
                <w:b/>
                <w:i/>
                <w:color w:val="FFFFFF" w:themeColor="background1"/>
                <w:sz w:val="28"/>
                <w:szCs w:val="18"/>
                <w:lang w:val="nl-NL"/>
              </w:rPr>
              <w:tab/>
            </w:r>
          </w:p>
          <w:p w:rsidR="00CE0A96" w:rsidRDefault="004C1529" w:rsidP="007512CE">
            <w:pPr>
              <w:spacing w:line="280" w:lineRule="exact"/>
              <w:rPr>
                <w:b/>
                <w:i/>
                <w:color w:val="FFFFFF" w:themeColor="background1"/>
                <w:sz w:val="28"/>
                <w:szCs w:val="18"/>
                <w:lang w:val="nl-NL"/>
              </w:rPr>
            </w:pPr>
            <w:r w:rsidRPr="004C1529">
              <w:rPr>
                <w:b/>
                <w:i/>
                <w:color w:val="FFFFFF" w:themeColor="background1"/>
                <w:sz w:val="28"/>
                <w:szCs w:val="18"/>
                <w:lang w:val="nl-NL"/>
              </w:rPr>
              <w:t>Toelichting Model Opstalrecht Zonnestroomsysteem (</w:t>
            </w:r>
            <w:proofErr w:type="spellStart"/>
            <w:r w:rsidRPr="004C1529">
              <w:rPr>
                <w:b/>
                <w:i/>
                <w:color w:val="FFFFFF" w:themeColor="background1"/>
                <w:sz w:val="28"/>
                <w:szCs w:val="18"/>
                <w:lang w:val="nl-NL"/>
              </w:rPr>
              <w:t>dakproject</w:t>
            </w:r>
            <w:proofErr w:type="spellEnd"/>
            <w:r w:rsidRPr="004C1529">
              <w:rPr>
                <w:b/>
                <w:i/>
                <w:color w:val="FFFFFF" w:themeColor="background1"/>
                <w:sz w:val="28"/>
                <w:szCs w:val="18"/>
                <w:lang w:val="nl-NL"/>
              </w:rPr>
              <w:t xml:space="preserve">, variant </w:t>
            </w:r>
            <w:r w:rsidR="00F43FA1">
              <w:rPr>
                <w:b/>
                <w:i/>
                <w:color w:val="FFFFFF" w:themeColor="background1"/>
                <w:sz w:val="28"/>
                <w:szCs w:val="18"/>
                <w:lang w:val="nl-NL"/>
              </w:rPr>
              <w:t>ondererfpacht</w:t>
            </w:r>
            <w:r w:rsidRPr="004C1529">
              <w:rPr>
                <w:b/>
                <w:i/>
                <w:color w:val="FFFFFF" w:themeColor="background1"/>
                <w:sz w:val="28"/>
                <w:szCs w:val="18"/>
                <w:lang w:val="nl-NL"/>
              </w:rPr>
              <w:t>) versie 1.0 (</w:t>
            </w:r>
            <w:r w:rsidR="00290A48">
              <w:rPr>
                <w:b/>
                <w:i/>
                <w:color w:val="FFFFFF" w:themeColor="background1"/>
                <w:sz w:val="28"/>
                <w:szCs w:val="18"/>
                <w:lang w:val="nl-NL"/>
              </w:rPr>
              <w:t>2020</w:t>
            </w:r>
            <w:r w:rsidRPr="004C1529">
              <w:rPr>
                <w:b/>
                <w:i/>
                <w:color w:val="FFFFFF" w:themeColor="background1"/>
                <w:sz w:val="28"/>
                <w:szCs w:val="18"/>
                <w:lang w:val="nl-NL"/>
              </w:rPr>
              <w:t>).</w:t>
            </w:r>
          </w:p>
          <w:p w:rsidR="004C1529" w:rsidRPr="004C1529" w:rsidRDefault="004C1529" w:rsidP="007512CE">
            <w:pPr>
              <w:spacing w:line="280" w:lineRule="exact"/>
              <w:rPr>
                <w:sz w:val="18"/>
                <w:szCs w:val="18"/>
                <w:lang w:val="nl-NL"/>
              </w:rPr>
            </w:pPr>
          </w:p>
        </w:tc>
      </w:tr>
      <w:tr w:rsidR="007512CE" w:rsidRPr="00290A48" w:rsidTr="007512CE">
        <w:trPr>
          <w:trHeight w:val="540"/>
        </w:trPr>
        <w:tc>
          <w:tcPr>
            <w:tcW w:w="13433" w:type="dxa"/>
            <w:gridSpan w:val="2"/>
            <w:shd w:val="clear" w:color="auto" w:fill="FFFFFF" w:themeFill="background1"/>
            <w:noWrap/>
          </w:tcPr>
          <w:p w:rsidR="000221D1" w:rsidRPr="000221D1" w:rsidRDefault="000221D1" w:rsidP="00CE0A96">
            <w:pPr>
              <w:spacing w:line="280" w:lineRule="exact"/>
              <w:rPr>
                <w:b/>
                <w:sz w:val="18"/>
                <w:szCs w:val="18"/>
                <w:lang w:val="nl-NL"/>
              </w:rPr>
            </w:pPr>
            <w:r w:rsidRPr="000221D1">
              <w:rPr>
                <w:b/>
                <w:sz w:val="18"/>
                <w:szCs w:val="18"/>
                <w:lang w:val="nl-NL"/>
              </w:rPr>
              <w:t>Algemeen:</w:t>
            </w:r>
          </w:p>
          <w:p w:rsidR="00941E04" w:rsidRDefault="007512CE" w:rsidP="00CE0A96">
            <w:pPr>
              <w:spacing w:line="280" w:lineRule="exact"/>
              <w:rPr>
                <w:sz w:val="18"/>
                <w:szCs w:val="18"/>
                <w:lang w:val="nl-NL"/>
              </w:rPr>
            </w:pPr>
            <w:r w:rsidRPr="007512CE">
              <w:rPr>
                <w:sz w:val="18"/>
                <w:szCs w:val="18"/>
                <w:lang w:val="nl-NL"/>
              </w:rPr>
              <w:t xml:space="preserve">Het onderhavige document betreft een toelichting bij het </w:t>
            </w:r>
            <w:r w:rsidRPr="004C1529">
              <w:rPr>
                <w:sz w:val="18"/>
                <w:szCs w:val="18"/>
                <w:lang w:val="nl-NL"/>
              </w:rPr>
              <w:t>Model Opstalrecht Zonnestroomsysteem (</w:t>
            </w:r>
            <w:proofErr w:type="spellStart"/>
            <w:r w:rsidRPr="004C1529">
              <w:rPr>
                <w:sz w:val="18"/>
                <w:szCs w:val="18"/>
                <w:lang w:val="nl-NL"/>
              </w:rPr>
              <w:t>dakproject</w:t>
            </w:r>
            <w:proofErr w:type="spellEnd"/>
            <w:r w:rsidR="004C1529" w:rsidRPr="004C1529">
              <w:rPr>
                <w:sz w:val="18"/>
                <w:szCs w:val="18"/>
                <w:lang w:val="nl-NL"/>
              </w:rPr>
              <w:t xml:space="preserve">, </w:t>
            </w:r>
            <w:r w:rsidR="004C1529" w:rsidRPr="004C1529">
              <w:rPr>
                <w:b/>
                <w:sz w:val="18"/>
                <w:szCs w:val="18"/>
                <w:lang w:val="nl-NL"/>
              </w:rPr>
              <w:t xml:space="preserve">variant </w:t>
            </w:r>
            <w:r w:rsidR="00F43FA1">
              <w:rPr>
                <w:b/>
                <w:sz w:val="18"/>
                <w:szCs w:val="18"/>
                <w:lang w:val="nl-NL"/>
              </w:rPr>
              <w:t>ondererfpacht</w:t>
            </w:r>
            <w:r w:rsidRPr="004C1529">
              <w:rPr>
                <w:sz w:val="18"/>
                <w:szCs w:val="18"/>
                <w:lang w:val="nl-NL"/>
              </w:rPr>
              <w:t>) versie 1.0 (201</w:t>
            </w:r>
            <w:r w:rsidR="004C1529" w:rsidRPr="004C1529">
              <w:rPr>
                <w:sz w:val="18"/>
                <w:szCs w:val="18"/>
                <w:lang w:val="nl-NL"/>
              </w:rPr>
              <w:t>9</w:t>
            </w:r>
            <w:r w:rsidRPr="004C1529">
              <w:rPr>
                <w:sz w:val="18"/>
                <w:szCs w:val="18"/>
                <w:lang w:val="nl-NL"/>
              </w:rPr>
              <w:t xml:space="preserve">). </w:t>
            </w:r>
            <w:r w:rsidRPr="007512CE">
              <w:rPr>
                <w:sz w:val="18"/>
                <w:szCs w:val="18"/>
                <w:lang w:val="nl-NL"/>
              </w:rPr>
              <w:t xml:space="preserve">Het </w:t>
            </w:r>
            <w:r w:rsidR="004C1529">
              <w:rPr>
                <w:sz w:val="18"/>
                <w:szCs w:val="18"/>
                <w:lang w:val="nl-NL"/>
              </w:rPr>
              <w:t xml:space="preserve">betreft een variant op het </w:t>
            </w:r>
            <w:r w:rsidR="004C1529" w:rsidRPr="004C1529">
              <w:rPr>
                <w:sz w:val="18"/>
                <w:szCs w:val="18"/>
                <w:lang w:val="nl-NL"/>
              </w:rPr>
              <w:t>Model Opstalrecht</w:t>
            </w:r>
            <w:r w:rsidR="004C1529">
              <w:rPr>
                <w:sz w:val="18"/>
                <w:szCs w:val="18"/>
                <w:lang w:val="nl-NL"/>
              </w:rPr>
              <w:t xml:space="preserve"> Zonnestroomsysteem (</w:t>
            </w:r>
            <w:proofErr w:type="spellStart"/>
            <w:r w:rsidR="004C1529">
              <w:rPr>
                <w:sz w:val="18"/>
                <w:szCs w:val="18"/>
                <w:lang w:val="nl-NL"/>
              </w:rPr>
              <w:t>dakproject</w:t>
            </w:r>
            <w:proofErr w:type="spellEnd"/>
            <w:r w:rsidR="004C1529" w:rsidRPr="004C1529">
              <w:rPr>
                <w:sz w:val="18"/>
                <w:szCs w:val="18"/>
                <w:lang w:val="nl-NL"/>
              </w:rPr>
              <w:t>) versie 1.0 (2019)</w:t>
            </w:r>
            <w:r w:rsidR="003303BD">
              <w:rPr>
                <w:sz w:val="18"/>
                <w:szCs w:val="18"/>
                <w:lang w:val="nl-NL"/>
              </w:rPr>
              <w:t xml:space="preserve"> (ook wel: het </w:t>
            </w:r>
            <w:r w:rsidR="003303BD" w:rsidRPr="00285AA4">
              <w:rPr>
                <w:b/>
                <w:sz w:val="18"/>
                <w:szCs w:val="18"/>
                <w:lang w:val="nl-NL"/>
              </w:rPr>
              <w:t>basismodel</w:t>
            </w:r>
            <w:r w:rsidR="003303BD">
              <w:rPr>
                <w:sz w:val="18"/>
                <w:szCs w:val="18"/>
                <w:lang w:val="nl-NL"/>
              </w:rPr>
              <w:t>)</w:t>
            </w:r>
            <w:r w:rsidR="0084299C">
              <w:rPr>
                <w:sz w:val="18"/>
                <w:szCs w:val="18"/>
                <w:lang w:val="nl-NL"/>
              </w:rPr>
              <w:t>.</w:t>
            </w:r>
            <w:r w:rsidR="004C1529">
              <w:rPr>
                <w:sz w:val="18"/>
                <w:szCs w:val="18"/>
                <w:lang w:val="nl-NL"/>
              </w:rPr>
              <w:t xml:space="preserve"> Ter zake wordt verwezen naar de toelichting van </w:t>
            </w:r>
            <w:r w:rsidR="003303BD">
              <w:rPr>
                <w:sz w:val="18"/>
                <w:szCs w:val="18"/>
                <w:lang w:val="nl-NL"/>
              </w:rPr>
              <w:t>dat</w:t>
            </w:r>
            <w:r w:rsidR="004C1529">
              <w:rPr>
                <w:sz w:val="18"/>
                <w:szCs w:val="18"/>
                <w:lang w:val="nl-NL"/>
              </w:rPr>
              <w:t xml:space="preserve"> </w:t>
            </w:r>
            <w:r w:rsidR="003303BD">
              <w:rPr>
                <w:sz w:val="18"/>
                <w:szCs w:val="18"/>
                <w:lang w:val="nl-NL"/>
              </w:rPr>
              <w:t>basis</w:t>
            </w:r>
            <w:r w:rsidR="004C1529">
              <w:rPr>
                <w:sz w:val="18"/>
                <w:szCs w:val="18"/>
                <w:lang w:val="nl-NL"/>
              </w:rPr>
              <w:t xml:space="preserve">model. Alleen op de bepalingen die van </w:t>
            </w:r>
            <w:r w:rsidR="003303BD">
              <w:rPr>
                <w:sz w:val="18"/>
                <w:szCs w:val="18"/>
                <w:lang w:val="nl-NL"/>
              </w:rPr>
              <w:t>het basis</w:t>
            </w:r>
            <w:r w:rsidR="004C1529">
              <w:rPr>
                <w:sz w:val="18"/>
                <w:szCs w:val="18"/>
                <w:lang w:val="nl-NL"/>
              </w:rPr>
              <w:t xml:space="preserve">model afwijken wordt </w:t>
            </w:r>
            <w:r w:rsidR="003303BD">
              <w:rPr>
                <w:sz w:val="18"/>
                <w:szCs w:val="18"/>
                <w:lang w:val="nl-NL"/>
              </w:rPr>
              <w:t>hieronder</w:t>
            </w:r>
            <w:r w:rsidR="004C1529">
              <w:rPr>
                <w:sz w:val="18"/>
                <w:szCs w:val="18"/>
                <w:lang w:val="nl-NL"/>
              </w:rPr>
              <w:t xml:space="preserve"> nader ingegaan.</w:t>
            </w:r>
          </w:p>
          <w:p w:rsidR="006C098F" w:rsidRDefault="006C098F" w:rsidP="00941E04">
            <w:pPr>
              <w:spacing w:line="280" w:lineRule="exact"/>
              <w:rPr>
                <w:b/>
                <w:sz w:val="18"/>
                <w:szCs w:val="18"/>
                <w:lang w:val="nl-NL"/>
              </w:rPr>
            </w:pPr>
            <w:r>
              <w:rPr>
                <w:b/>
                <w:sz w:val="18"/>
                <w:szCs w:val="18"/>
                <w:lang w:val="nl-NL"/>
              </w:rPr>
              <w:t>Wanneer is dit model bruikbaar?</w:t>
            </w:r>
          </w:p>
          <w:p w:rsidR="00F43FA1" w:rsidRPr="008A4CCF" w:rsidRDefault="008A4CCF" w:rsidP="008A4CCF">
            <w:pPr>
              <w:spacing w:line="280" w:lineRule="exact"/>
              <w:rPr>
                <w:sz w:val="18"/>
                <w:szCs w:val="18"/>
                <w:lang w:val="nl-NL"/>
              </w:rPr>
            </w:pPr>
            <w:r>
              <w:rPr>
                <w:sz w:val="18"/>
                <w:szCs w:val="18"/>
                <w:lang w:val="nl-NL"/>
              </w:rPr>
              <w:t xml:space="preserve">Ten opzichte van het basismodel is het model bruikbaar in de situatie dat sprake is van erfpacht. Het model </w:t>
            </w:r>
            <w:r w:rsidR="00854140">
              <w:rPr>
                <w:sz w:val="18"/>
                <w:szCs w:val="18"/>
                <w:lang w:val="nl-NL"/>
              </w:rPr>
              <w:t>is geschreven voor de situatie dat</w:t>
            </w:r>
            <w:r w:rsidR="00F43FA1" w:rsidRPr="008A4CCF">
              <w:rPr>
                <w:sz w:val="18"/>
                <w:szCs w:val="18"/>
                <w:lang w:val="nl-NL"/>
              </w:rPr>
              <w:t xml:space="preserve"> de grondeigenaar medewerking kan verlenen aan instemming overeenk</w:t>
            </w:r>
            <w:r>
              <w:rPr>
                <w:sz w:val="18"/>
                <w:szCs w:val="18"/>
                <w:lang w:val="nl-NL"/>
              </w:rPr>
              <w:t>omstig artikel 5:93 lid 2 BW</w:t>
            </w:r>
            <w:r w:rsidR="008429EF" w:rsidRPr="008A4CCF">
              <w:rPr>
                <w:sz w:val="18"/>
                <w:szCs w:val="18"/>
                <w:lang w:val="nl-NL"/>
              </w:rPr>
              <w:t>.</w:t>
            </w:r>
          </w:p>
          <w:p w:rsidR="00941E04" w:rsidRPr="00941E04" w:rsidRDefault="00941E04" w:rsidP="00941E04">
            <w:pPr>
              <w:spacing w:line="280" w:lineRule="exact"/>
              <w:rPr>
                <w:b/>
                <w:sz w:val="18"/>
                <w:szCs w:val="18"/>
                <w:lang w:val="nl-NL"/>
              </w:rPr>
            </w:pPr>
            <w:r w:rsidRPr="00941E04">
              <w:rPr>
                <w:b/>
                <w:sz w:val="18"/>
                <w:szCs w:val="18"/>
                <w:lang w:val="nl-NL"/>
              </w:rPr>
              <w:t xml:space="preserve">Waarom </w:t>
            </w:r>
            <w:r>
              <w:rPr>
                <w:b/>
                <w:sz w:val="18"/>
                <w:szCs w:val="18"/>
                <w:lang w:val="nl-NL"/>
              </w:rPr>
              <w:t xml:space="preserve">is dit model </w:t>
            </w:r>
            <w:r w:rsidRPr="00941E04">
              <w:rPr>
                <w:b/>
                <w:sz w:val="18"/>
                <w:szCs w:val="18"/>
                <w:lang w:val="nl-NL"/>
              </w:rPr>
              <w:t>opgesteld?</w:t>
            </w:r>
          </w:p>
          <w:p w:rsidR="00941E04" w:rsidRPr="00941E04" w:rsidRDefault="00941E04" w:rsidP="00941E04">
            <w:pPr>
              <w:spacing w:line="280" w:lineRule="exact"/>
              <w:rPr>
                <w:sz w:val="18"/>
                <w:szCs w:val="18"/>
                <w:lang w:val="nl-NL"/>
              </w:rPr>
            </w:pPr>
            <w:r w:rsidRPr="00941E04">
              <w:rPr>
                <w:sz w:val="18"/>
                <w:szCs w:val="18"/>
                <w:lang w:val="nl-NL"/>
              </w:rPr>
              <w:t xml:space="preserve">Aanleiding voor het opstellen van </w:t>
            </w:r>
            <w:r>
              <w:rPr>
                <w:sz w:val="18"/>
                <w:szCs w:val="18"/>
                <w:lang w:val="nl-NL"/>
              </w:rPr>
              <w:t>het</w:t>
            </w:r>
            <w:r w:rsidRPr="00941E04">
              <w:rPr>
                <w:sz w:val="18"/>
                <w:szCs w:val="18"/>
                <w:lang w:val="nl-NL"/>
              </w:rPr>
              <w:t xml:space="preserve"> model </w:t>
            </w:r>
            <w:r>
              <w:rPr>
                <w:sz w:val="18"/>
                <w:szCs w:val="18"/>
                <w:lang w:val="nl-NL"/>
              </w:rPr>
              <w:t>is de financierbaarheid van zonneprojecten op daken te</w:t>
            </w:r>
            <w:r w:rsidR="0084299C">
              <w:rPr>
                <w:sz w:val="18"/>
                <w:szCs w:val="18"/>
                <w:lang w:val="nl-NL"/>
              </w:rPr>
              <w:t xml:space="preserve"> vereenvoudigen en daarmee te</w:t>
            </w:r>
            <w:r>
              <w:rPr>
                <w:sz w:val="18"/>
                <w:szCs w:val="18"/>
                <w:lang w:val="nl-NL"/>
              </w:rPr>
              <w:t xml:space="preserve"> bevorderen</w:t>
            </w:r>
            <w:r w:rsidRPr="00941E04">
              <w:rPr>
                <w:sz w:val="18"/>
                <w:szCs w:val="18"/>
                <w:lang w:val="nl-NL"/>
              </w:rPr>
              <w:t xml:space="preserve">. </w:t>
            </w:r>
            <w:r w:rsidR="003303BD">
              <w:rPr>
                <w:sz w:val="18"/>
                <w:szCs w:val="18"/>
                <w:lang w:val="nl-NL"/>
              </w:rPr>
              <w:t xml:space="preserve">Er bleek behoefte te bestaan aan een model dat </w:t>
            </w:r>
            <w:r w:rsidR="008429EF">
              <w:rPr>
                <w:sz w:val="18"/>
                <w:szCs w:val="18"/>
                <w:lang w:val="nl-NL"/>
              </w:rPr>
              <w:t>kan worden gebruikt voor gebouwen die “op erfpacht staan”</w:t>
            </w:r>
            <w:r w:rsidR="003303BD">
              <w:rPr>
                <w:sz w:val="18"/>
                <w:szCs w:val="18"/>
                <w:lang w:val="nl-NL"/>
              </w:rPr>
              <w:t xml:space="preserve">. Het basismodel gaat </w:t>
            </w:r>
            <w:r w:rsidR="008429EF">
              <w:rPr>
                <w:sz w:val="18"/>
                <w:szCs w:val="18"/>
                <w:lang w:val="nl-NL"/>
              </w:rPr>
              <w:t>ervan uit dat het gebouw in volle eigendom wordt gehouden</w:t>
            </w:r>
            <w:r w:rsidR="003303BD">
              <w:rPr>
                <w:sz w:val="18"/>
                <w:szCs w:val="18"/>
                <w:lang w:val="nl-NL"/>
              </w:rPr>
              <w:t>.</w:t>
            </w:r>
          </w:p>
          <w:p w:rsidR="00941E04" w:rsidRPr="00941E04" w:rsidRDefault="00941E04" w:rsidP="00941E04">
            <w:pPr>
              <w:spacing w:line="280" w:lineRule="exact"/>
              <w:rPr>
                <w:b/>
                <w:sz w:val="18"/>
                <w:szCs w:val="18"/>
                <w:lang w:val="nl-NL"/>
              </w:rPr>
            </w:pPr>
            <w:r>
              <w:rPr>
                <w:b/>
                <w:sz w:val="18"/>
                <w:szCs w:val="18"/>
                <w:lang w:val="nl-NL"/>
              </w:rPr>
              <w:t>W</w:t>
            </w:r>
            <w:r w:rsidRPr="00941E04">
              <w:rPr>
                <w:b/>
                <w:sz w:val="18"/>
                <w:szCs w:val="18"/>
                <w:lang w:val="nl-NL"/>
              </w:rPr>
              <w:t xml:space="preserve">anneer </w:t>
            </w:r>
            <w:r w:rsidR="0084299C">
              <w:rPr>
                <w:b/>
                <w:sz w:val="18"/>
                <w:szCs w:val="18"/>
                <w:lang w:val="nl-NL"/>
              </w:rPr>
              <w:t>en hoe dient</w:t>
            </w:r>
            <w:r w:rsidRPr="00941E04">
              <w:rPr>
                <w:b/>
                <w:sz w:val="18"/>
                <w:szCs w:val="18"/>
                <w:lang w:val="nl-NL"/>
              </w:rPr>
              <w:t xml:space="preserve"> u</w:t>
            </w:r>
            <w:r>
              <w:rPr>
                <w:b/>
                <w:sz w:val="18"/>
                <w:szCs w:val="18"/>
                <w:lang w:val="nl-NL"/>
              </w:rPr>
              <w:t xml:space="preserve"> het model </w:t>
            </w:r>
            <w:r w:rsidR="0084299C">
              <w:rPr>
                <w:b/>
                <w:sz w:val="18"/>
                <w:szCs w:val="18"/>
                <w:lang w:val="nl-NL"/>
              </w:rPr>
              <w:t xml:space="preserve">te </w:t>
            </w:r>
            <w:r w:rsidRPr="00941E04">
              <w:rPr>
                <w:b/>
                <w:sz w:val="18"/>
                <w:szCs w:val="18"/>
                <w:lang w:val="nl-NL"/>
              </w:rPr>
              <w:t>gebruiken?</w:t>
            </w:r>
          </w:p>
          <w:p w:rsidR="00941E04" w:rsidRPr="00941E04" w:rsidRDefault="00941E04" w:rsidP="00941E04">
            <w:pPr>
              <w:spacing w:line="280" w:lineRule="exact"/>
              <w:rPr>
                <w:sz w:val="18"/>
                <w:szCs w:val="18"/>
                <w:lang w:val="nl-NL"/>
              </w:rPr>
            </w:pPr>
            <w:r>
              <w:rPr>
                <w:sz w:val="18"/>
                <w:szCs w:val="18"/>
                <w:lang w:val="nl-NL"/>
              </w:rPr>
              <w:t>Het model dient gebruik te worden indien dat door de betrokken financiers wordt verlangd</w:t>
            </w:r>
            <w:r w:rsidRPr="00941E04">
              <w:rPr>
                <w:sz w:val="18"/>
                <w:szCs w:val="18"/>
                <w:lang w:val="nl-NL"/>
              </w:rPr>
              <w:t>.</w:t>
            </w:r>
            <w:r>
              <w:rPr>
                <w:sz w:val="18"/>
                <w:szCs w:val="18"/>
                <w:lang w:val="nl-NL"/>
              </w:rPr>
              <w:t xml:space="preserve"> Eventuele afwijkingen op het model dient u aan de betreffende financiers inzichtelijk te maken</w:t>
            </w:r>
            <w:r w:rsidR="0026268C">
              <w:rPr>
                <w:sz w:val="18"/>
                <w:szCs w:val="18"/>
                <w:lang w:val="nl-NL"/>
              </w:rPr>
              <w:t xml:space="preserve"> middels toezending van een </w:t>
            </w:r>
            <w:r w:rsidR="0084299C">
              <w:rPr>
                <w:sz w:val="18"/>
                <w:szCs w:val="18"/>
                <w:lang w:val="nl-NL"/>
              </w:rPr>
              <w:t>versie waaruit de gemaakte aanpassingen duidelijk blijken</w:t>
            </w:r>
            <w:r w:rsidR="0026268C">
              <w:rPr>
                <w:sz w:val="18"/>
                <w:szCs w:val="18"/>
                <w:lang w:val="nl-NL"/>
              </w:rPr>
              <w:t>.</w:t>
            </w:r>
            <w:r w:rsidR="0084299C">
              <w:rPr>
                <w:sz w:val="18"/>
                <w:szCs w:val="18"/>
                <w:lang w:val="nl-NL"/>
              </w:rPr>
              <w:t xml:space="preserve"> Indien tekstmodules worden gebruikt die in het model oranje gekleurd zijn, dient dat eveneens expliciet inzichtelijk gemaakt te worden. </w:t>
            </w:r>
            <w:r w:rsidR="003569DC">
              <w:rPr>
                <w:sz w:val="18"/>
                <w:szCs w:val="18"/>
                <w:lang w:val="nl-NL"/>
              </w:rPr>
              <w:t>Oranje</w:t>
            </w:r>
            <w:r w:rsidR="0084299C">
              <w:rPr>
                <w:sz w:val="18"/>
                <w:szCs w:val="18"/>
                <w:lang w:val="nl-NL"/>
              </w:rPr>
              <w:t xml:space="preserve"> modules </w:t>
            </w:r>
            <w:r w:rsidR="003569DC">
              <w:rPr>
                <w:sz w:val="18"/>
                <w:szCs w:val="18"/>
                <w:lang w:val="nl-NL"/>
              </w:rPr>
              <w:t xml:space="preserve">en afwijkingen van het model </w:t>
            </w:r>
            <w:r w:rsidR="0084299C">
              <w:rPr>
                <w:sz w:val="18"/>
                <w:szCs w:val="18"/>
                <w:lang w:val="nl-NL"/>
              </w:rPr>
              <w:t>kunnen</w:t>
            </w:r>
            <w:r w:rsidR="0084299C" w:rsidRPr="007512CE">
              <w:rPr>
                <w:sz w:val="18"/>
                <w:szCs w:val="18"/>
                <w:lang w:val="nl-NL"/>
              </w:rPr>
              <w:t xml:space="preserve"> alleen worden toegepast met expliciete goedkeuring va</w:t>
            </w:r>
            <w:r w:rsidR="003569DC">
              <w:rPr>
                <w:sz w:val="18"/>
                <w:szCs w:val="18"/>
                <w:lang w:val="nl-NL"/>
              </w:rPr>
              <w:t xml:space="preserve">n de </w:t>
            </w:r>
            <w:r w:rsidR="0084299C">
              <w:rPr>
                <w:sz w:val="18"/>
                <w:szCs w:val="18"/>
                <w:lang w:val="nl-NL"/>
              </w:rPr>
              <w:t>betrokken financiers</w:t>
            </w:r>
            <w:r w:rsidR="0084299C" w:rsidRPr="007512CE">
              <w:rPr>
                <w:sz w:val="18"/>
                <w:szCs w:val="18"/>
                <w:lang w:val="nl-NL"/>
              </w:rPr>
              <w:t>.</w:t>
            </w:r>
          </w:p>
          <w:p w:rsidR="00941E04" w:rsidRPr="00941E04" w:rsidRDefault="00941E04" w:rsidP="00941E04">
            <w:pPr>
              <w:spacing w:line="280" w:lineRule="exact"/>
              <w:rPr>
                <w:b/>
                <w:sz w:val="18"/>
                <w:szCs w:val="18"/>
                <w:lang w:val="nl-NL"/>
              </w:rPr>
            </w:pPr>
            <w:r w:rsidRPr="00941E04">
              <w:rPr>
                <w:b/>
                <w:sz w:val="18"/>
                <w:szCs w:val="18"/>
                <w:lang w:val="nl-NL"/>
              </w:rPr>
              <w:t>Heeft u nog vragen?</w:t>
            </w:r>
          </w:p>
          <w:p w:rsidR="00941E04" w:rsidRDefault="0084299C" w:rsidP="00941E04">
            <w:pPr>
              <w:spacing w:line="280" w:lineRule="exact"/>
              <w:rPr>
                <w:sz w:val="18"/>
                <w:szCs w:val="18"/>
                <w:lang w:val="nl-NL"/>
              </w:rPr>
            </w:pPr>
            <w:r>
              <w:rPr>
                <w:sz w:val="18"/>
                <w:szCs w:val="18"/>
                <w:lang w:val="nl-NL"/>
              </w:rPr>
              <w:t xml:space="preserve">Neem dan contact </w:t>
            </w:r>
            <w:r w:rsidR="00941E04" w:rsidRPr="00941E04">
              <w:rPr>
                <w:sz w:val="18"/>
                <w:szCs w:val="18"/>
                <w:lang w:val="nl-NL"/>
              </w:rPr>
              <w:t xml:space="preserve">op via het volgende e-mailadres: </w:t>
            </w:r>
            <w:r w:rsidR="004C1529">
              <w:rPr>
                <w:sz w:val="18"/>
                <w:szCs w:val="18"/>
                <w:lang w:val="nl-NL"/>
              </w:rPr>
              <w:t>info@nvb.nl</w:t>
            </w:r>
          </w:p>
          <w:p w:rsidR="000221D1" w:rsidRPr="007512CE" w:rsidRDefault="000221D1" w:rsidP="00941E04">
            <w:pPr>
              <w:spacing w:line="280" w:lineRule="exact"/>
              <w:rPr>
                <w:b/>
                <w:i/>
                <w:sz w:val="18"/>
                <w:szCs w:val="18"/>
                <w:lang w:val="nl-NL"/>
              </w:rPr>
            </w:pPr>
          </w:p>
        </w:tc>
      </w:tr>
      <w:tr w:rsidR="00447A87" w:rsidRPr="000221D1" w:rsidTr="00CC1D51">
        <w:trPr>
          <w:trHeight w:val="540"/>
        </w:trPr>
        <w:tc>
          <w:tcPr>
            <w:tcW w:w="6716" w:type="dxa"/>
            <w:shd w:val="clear" w:color="auto" w:fill="92D050"/>
            <w:noWrap/>
            <w:hideMark/>
          </w:tcPr>
          <w:p w:rsidR="00447A87" w:rsidRPr="000221D1" w:rsidRDefault="003303BD" w:rsidP="00E34E57">
            <w:pPr>
              <w:spacing w:after="240" w:line="280" w:lineRule="atLeast"/>
              <w:rPr>
                <w:rFonts w:cs="Arial"/>
                <w:b/>
                <w:bCs/>
                <w:color w:val="FFFFFF" w:themeColor="background1"/>
                <w:szCs w:val="18"/>
                <w:lang w:val="nl-NL"/>
              </w:rPr>
            </w:pPr>
            <w:r>
              <w:rPr>
                <w:rFonts w:cs="Arial"/>
                <w:b/>
                <w:bCs/>
                <w:color w:val="FFFFFF" w:themeColor="background1"/>
                <w:szCs w:val="18"/>
                <w:lang w:val="nl-NL"/>
              </w:rPr>
              <w:t>Arkel</w:t>
            </w:r>
            <w:r w:rsidR="004C1529">
              <w:rPr>
                <w:rFonts w:cs="Arial"/>
                <w:b/>
                <w:bCs/>
                <w:color w:val="FFFFFF" w:themeColor="background1"/>
                <w:szCs w:val="18"/>
                <w:lang w:val="nl-NL"/>
              </w:rPr>
              <w:t xml:space="preserve"> dat afwijk</w:t>
            </w:r>
            <w:r>
              <w:rPr>
                <w:rFonts w:cs="Arial"/>
                <w:b/>
                <w:bCs/>
                <w:color w:val="FFFFFF" w:themeColor="background1"/>
                <w:szCs w:val="18"/>
                <w:lang w:val="nl-NL"/>
              </w:rPr>
              <w:t>t</w:t>
            </w:r>
            <w:r w:rsidR="004C1529">
              <w:rPr>
                <w:rFonts w:cs="Arial"/>
                <w:b/>
                <w:bCs/>
                <w:color w:val="FFFFFF" w:themeColor="background1"/>
                <w:szCs w:val="18"/>
                <w:lang w:val="nl-NL"/>
              </w:rPr>
              <w:t xml:space="preserve"> van het basismodel</w:t>
            </w:r>
          </w:p>
        </w:tc>
        <w:tc>
          <w:tcPr>
            <w:tcW w:w="6717" w:type="dxa"/>
            <w:shd w:val="clear" w:color="auto" w:fill="92D050"/>
          </w:tcPr>
          <w:p w:rsidR="00447A87" w:rsidRPr="000221D1" w:rsidRDefault="00447A87" w:rsidP="00E34E57">
            <w:pPr>
              <w:spacing w:after="240" w:line="280" w:lineRule="atLeast"/>
              <w:rPr>
                <w:rFonts w:cs="Arial"/>
                <w:b/>
                <w:bCs/>
                <w:color w:val="FFFFFF" w:themeColor="background1"/>
                <w:szCs w:val="18"/>
                <w:lang w:val="nl-NL"/>
              </w:rPr>
            </w:pPr>
            <w:r w:rsidRPr="000221D1">
              <w:rPr>
                <w:rFonts w:cs="Arial"/>
                <w:b/>
                <w:bCs/>
                <w:color w:val="FFFFFF" w:themeColor="background1"/>
                <w:szCs w:val="18"/>
                <w:lang w:val="nl-NL"/>
              </w:rPr>
              <w:t>Toelichting</w:t>
            </w:r>
          </w:p>
        </w:tc>
      </w:tr>
      <w:tr w:rsidR="00447A87" w:rsidRPr="00290A48" w:rsidTr="00CC1D51">
        <w:trPr>
          <w:trHeight w:val="600"/>
        </w:trPr>
        <w:tc>
          <w:tcPr>
            <w:tcW w:w="6716" w:type="dxa"/>
            <w:hideMark/>
          </w:tcPr>
          <w:p w:rsidR="00A4429E" w:rsidRPr="00A4429E" w:rsidRDefault="0026268C" w:rsidP="00A4429E">
            <w:pPr>
              <w:pStyle w:val="LLDeedWhereas"/>
              <w:rPr>
                <w:b/>
                <w:i/>
              </w:rPr>
            </w:pPr>
            <w:r w:rsidRPr="00A4429E">
              <w:rPr>
                <w:b/>
                <w:i/>
              </w:rPr>
              <w:t>DEFINITIES</w:t>
            </w:r>
          </w:p>
          <w:p w:rsidR="008429EF" w:rsidRPr="00A4429E" w:rsidRDefault="008429EF" w:rsidP="00A4429E">
            <w:pPr>
              <w:pStyle w:val="ListParagraph"/>
              <w:tabs>
                <w:tab w:val="left" w:pos="993"/>
              </w:tabs>
              <w:spacing w:after="240" w:line="280" w:lineRule="atLeast"/>
              <w:ind w:left="709" w:hanging="709"/>
              <w:rPr>
                <w:rFonts w:cs="Arial"/>
                <w:b/>
                <w:i/>
                <w:sz w:val="18"/>
                <w:szCs w:val="18"/>
                <w:lang w:val="nl-NL"/>
              </w:rPr>
            </w:pPr>
            <w:r w:rsidRPr="00A4429E">
              <w:rPr>
                <w:rFonts w:cs="Arial"/>
                <w:i/>
                <w:sz w:val="18"/>
                <w:szCs w:val="18"/>
                <w:lang w:val="nl-NL"/>
              </w:rPr>
              <w:t>Diverse definities toegevoegd.</w:t>
            </w:r>
          </w:p>
          <w:p w:rsidR="0026268C" w:rsidRPr="003303BD" w:rsidRDefault="0026268C" w:rsidP="003303BD">
            <w:pPr>
              <w:pStyle w:val="ListParagraph"/>
              <w:tabs>
                <w:tab w:val="left" w:pos="567"/>
              </w:tabs>
              <w:spacing w:after="240" w:line="280" w:lineRule="atLeast"/>
              <w:ind w:left="567"/>
              <w:rPr>
                <w:rFonts w:cs="Arial"/>
                <w:i/>
                <w:sz w:val="18"/>
                <w:szCs w:val="18"/>
                <w:lang w:val="nl-NL"/>
              </w:rPr>
            </w:pPr>
          </w:p>
        </w:tc>
        <w:tc>
          <w:tcPr>
            <w:tcW w:w="6717" w:type="dxa"/>
          </w:tcPr>
          <w:p w:rsidR="00447A87" w:rsidRPr="00447A87" w:rsidRDefault="008429EF" w:rsidP="00285AA4">
            <w:pPr>
              <w:spacing w:after="240" w:line="280" w:lineRule="atLeast"/>
              <w:rPr>
                <w:rFonts w:cs="Arial"/>
                <w:sz w:val="18"/>
                <w:szCs w:val="18"/>
                <w:lang w:val="nl-NL"/>
              </w:rPr>
            </w:pPr>
            <w:r>
              <w:rPr>
                <w:rFonts w:cs="Arial"/>
                <w:sz w:val="18"/>
                <w:szCs w:val="18"/>
                <w:lang w:val="nl-NL"/>
              </w:rPr>
              <w:t>Ten opzichte van het basismodel zijn divers</w:t>
            </w:r>
            <w:r w:rsidR="0055739E">
              <w:rPr>
                <w:rFonts w:cs="Arial"/>
                <w:sz w:val="18"/>
                <w:szCs w:val="18"/>
                <w:lang w:val="nl-NL"/>
              </w:rPr>
              <w:t>e</w:t>
            </w:r>
            <w:r>
              <w:rPr>
                <w:rFonts w:cs="Arial"/>
                <w:sz w:val="18"/>
                <w:szCs w:val="18"/>
                <w:lang w:val="nl-NL"/>
              </w:rPr>
              <w:t xml:space="preserve"> definities toegevoegd die verband houden met de situatie dat sprake is van erfpacht en ondererfpacht.</w:t>
            </w:r>
          </w:p>
        </w:tc>
      </w:tr>
      <w:tr w:rsidR="00CC1D51" w:rsidRPr="00290A48" w:rsidTr="00CC1D51">
        <w:trPr>
          <w:trHeight w:val="763"/>
        </w:trPr>
        <w:tc>
          <w:tcPr>
            <w:tcW w:w="6716" w:type="dxa"/>
          </w:tcPr>
          <w:p w:rsidR="00CC1D51" w:rsidRPr="008429EF" w:rsidRDefault="008429EF" w:rsidP="00A4429E">
            <w:pPr>
              <w:pStyle w:val="ListParagraph"/>
              <w:tabs>
                <w:tab w:val="left" w:pos="567"/>
              </w:tabs>
              <w:spacing w:after="240" w:line="280" w:lineRule="atLeast"/>
              <w:ind w:left="567" w:hanging="567"/>
              <w:rPr>
                <w:i/>
                <w:sz w:val="18"/>
                <w:szCs w:val="18"/>
                <w:lang w:val="nl-NL"/>
              </w:rPr>
            </w:pPr>
            <w:r w:rsidRPr="008429EF">
              <w:rPr>
                <w:i/>
                <w:sz w:val="18"/>
                <w:szCs w:val="18"/>
                <w:lang w:val="nl-NL"/>
              </w:rPr>
              <w:t>3.1</w:t>
            </w:r>
            <w:r w:rsidRPr="008429EF">
              <w:rPr>
                <w:i/>
                <w:sz w:val="18"/>
                <w:szCs w:val="18"/>
                <w:lang w:val="nl-NL"/>
              </w:rPr>
              <w:tab/>
              <w:t xml:space="preserve">Erfpachter heeft de Erfpacht verkregen door de inschrijving in de Openbare Registers [(destijds te </w:t>
            </w:r>
            <w:r>
              <w:rPr>
                <w:i/>
                <w:sz w:val="18"/>
                <w:szCs w:val="18"/>
              </w:rPr>
              <w:sym w:font="Wingdings" w:char="F06C"/>
            </w:r>
            <w:r w:rsidRPr="008429EF">
              <w:rPr>
                <w:i/>
                <w:sz w:val="18"/>
                <w:szCs w:val="18"/>
                <w:lang w:val="nl-NL"/>
              </w:rPr>
              <w:t xml:space="preserve">)] op </w:t>
            </w:r>
            <w:r>
              <w:rPr>
                <w:i/>
                <w:sz w:val="18"/>
                <w:szCs w:val="18"/>
              </w:rPr>
              <w:sym w:font="Wingdings" w:char="F06C"/>
            </w:r>
            <w:r w:rsidRPr="008429EF">
              <w:rPr>
                <w:i/>
                <w:sz w:val="18"/>
                <w:szCs w:val="18"/>
                <w:lang w:val="nl-NL"/>
              </w:rPr>
              <w:t xml:space="preserve"> in register Hypotheken 4 deel </w:t>
            </w:r>
            <w:r>
              <w:rPr>
                <w:i/>
                <w:sz w:val="18"/>
                <w:szCs w:val="18"/>
              </w:rPr>
              <w:sym w:font="Wingdings" w:char="F06C"/>
            </w:r>
            <w:r w:rsidRPr="008429EF">
              <w:rPr>
                <w:i/>
                <w:sz w:val="18"/>
                <w:szCs w:val="18"/>
                <w:lang w:val="nl-NL"/>
              </w:rPr>
              <w:t xml:space="preserve"> </w:t>
            </w:r>
            <w:r w:rsidRPr="008429EF">
              <w:rPr>
                <w:i/>
                <w:sz w:val="18"/>
                <w:szCs w:val="18"/>
                <w:lang w:val="nl-NL"/>
              </w:rPr>
              <w:lastRenderedPageBreak/>
              <w:t xml:space="preserve">nummer </w:t>
            </w:r>
            <w:r>
              <w:rPr>
                <w:i/>
                <w:sz w:val="18"/>
                <w:szCs w:val="18"/>
              </w:rPr>
              <w:sym w:font="Wingdings" w:char="F06C"/>
            </w:r>
            <w:r w:rsidRPr="008429EF">
              <w:rPr>
                <w:i/>
                <w:sz w:val="18"/>
                <w:szCs w:val="18"/>
                <w:lang w:val="nl-NL"/>
              </w:rPr>
              <w:t xml:space="preserve"> van een afschrift van een akte van levering, op </w:t>
            </w:r>
            <w:r>
              <w:rPr>
                <w:i/>
                <w:sz w:val="18"/>
                <w:szCs w:val="18"/>
              </w:rPr>
              <w:sym w:font="Wingdings" w:char="F06C"/>
            </w:r>
            <w:r w:rsidRPr="008429EF">
              <w:rPr>
                <w:i/>
                <w:sz w:val="18"/>
                <w:szCs w:val="18"/>
                <w:lang w:val="nl-NL"/>
              </w:rPr>
              <w:t xml:space="preserve"> verleden voor </w:t>
            </w:r>
            <w:r>
              <w:rPr>
                <w:i/>
                <w:sz w:val="18"/>
                <w:szCs w:val="18"/>
              </w:rPr>
              <w:sym w:font="Wingdings" w:char="F06C"/>
            </w:r>
            <w:r w:rsidRPr="008429EF">
              <w:rPr>
                <w:i/>
                <w:sz w:val="18"/>
                <w:szCs w:val="18"/>
                <w:lang w:val="nl-NL"/>
              </w:rPr>
              <w:t xml:space="preserve">, notaris te </w:t>
            </w:r>
            <w:r>
              <w:rPr>
                <w:i/>
                <w:sz w:val="18"/>
                <w:szCs w:val="18"/>
              </w:rPr>
              <w:sym w:font="Wingdings" w:char="F06C"/>
            </w:r>
            <w:r w:rsidRPr="008429EF">
              <w:rPr>
                <w:i/>
                <w:sz w:val="18"/>
                <w:szCs w:val="18"/>
                <w:lang w:val="nl-NL"/>
              </w:rPr>
              <w:t>.</w:t>
            </w:r>
          </w:p>
          <w:p w:rsidR="003303BD" w:rsidRPr="0026268C" w:rsidRDefault="003303BD" w:rsidP="003303BD">
            <w:pPr>
              <w:pStyle w:val="LLDeedHeading2"/>
              <w:ind w:left="567"/>
              <w:rPr>
                <w:i/>
                <w:sz w:val="18"/>
                <w:szCs w:val="18"/>
              </w:rPr>
            </w:pPr>
          </w:p>
        </w:tc>
        <w:tc>
          <w:tcPr>
            <w:tcW w:w="6717" w:type="dxa"/>
          </w:tcPr>
          <w:p w:rsidR="00CC1D51" w:rsidRPr="007512CE" w:rsidRDefault="008429EF" w:rsidP="00BB3405">
            <w:pPr>
              <w:spacing w:after="240" w:line="280" w:lineRule="atLeast"/>
              <w:rPr>
                <w:rFonts w:cs="Arial"/>
                <w:sz w:val="18"/>
                <w:szCs w:val="18"/>
                <w:lang w:val="nl-NL"/>
              </w:rPr>
            </w:pPr>
            <w:r>
              <w:rPr>
                <w:rFonts w:cs="Arial"/>
                <w:sz w:val="18"/>
                <w:szCs w:val="18"/>
                <w:lang w:val="nl-NL"/>
              </w:rPr>
              <w:lastRenderedPageBreak/>
              <w:t>Hier wordt melding gemaakt van de voorafgaande verkrijging van de erfpacht</w:t>
            </w:r>
            <w:r w:rsidR="0099024E">
              <w:rPr>
                <w:rFonts w:cs="Arial"/>
                <w:sz w:val="18"/>
                <w:szCs w:val="18"/>
                <w:lang w:val="nl-NL"/>
              </w:rPr>
              <w:t>.</w:t>
            </w:r>
          </w:p>
        </w:tc>
      </w:tr>
      <w:tr w:rsidR="008429EF" w:rsidRPr="00290A48" w:rsidTr="00CC1D51">
        <w:trPr>
          <w:trHeight w:val="763"/>
        </w:trPr>
        <w:tc>
          <w:tcPr>
            <w:tcW w:w="6716" w:type="dxa"/>
          </w:tcPr>
          <w:p w:rsidR="008429EF" w:rsidRPr="008429EF" w:rsidRDefault="008429EF" w:rsidP="00A4429E">
            <w:pPr>
              <w:pStyle w:val="ListParagraph"/>
              <w:tabs>
                <w:tab w:val="left" w:pos="567"/>
              </w:tabs>
              <w:spacing w:after="240" w:line="280" w:lineRule="atLeast"/>
              <w:ind w:left="567" w:hanging="567"/>
              <w:rPr>
                <w:i/>
                <w:sz w:val="18"/>
                <w:szCs w:val="18"/>
                <w:lang w:val="nl-NL"/>
              </w:rPr>
            </w:pPr>
            <w:r w:rsidRPr="008429EF">
              <w:rPr>
                <w:i/>
                <w:sz w:val="18"/>
                <w:szCs w:val="18"/>
                <w:lang w:val="nl-NL"/>
              </w:rPr>
              <w:lastRenderedPageBreak/>
              <w:t>7.1</w:t>
            </w:r>
            <w:r w:rsidRPr="008429EF">
              <w:rPr>
                <w:i/>
                <w:sz w:val="18"/>
                <w:szCs w:val="18"/>
                <w:lang w:val="nl-NL"/>
              </w:rPr>
              <w:tab/>
              <w:t xml:space="preserve">De Ondererfpacht geeft Ondererfpachter het recht om die delen van het Dak, het Gebouw, </w:t>
            </w:r>
            <w:proofErr w:type="spellStart"/>
            <w:r w:rsidRPr="008429EF">
              <w:rPr>
                <w:i/>
                <w:sz w:val="18"/>
                <w:szCs w:val="18"/>
                <w:lang w:val="nl-NL"/>
              </w:rPr>
              <w:t>casu</w:t>
            </w:r>
            <w:proofErr w:type="spellEnd"/>
            <w:r w:rsidRPr="008429EF">
              <w:rPr>
                <w:i/>
                <w:sz w:val="18"/>
                <w:szCs w:val="18"/>
                <w:lang w:val="nl-NL"/>
              </w:rPr>
              <w:t xml:space="preserve"> quo de Onroerende Zaak te houden en te gebruiken zodanig dat de Ondererfpacht gerechtigd is daarop de Opstallen aan te brengen, te houden, te gebruiken, te onderhouden, te herstellen en zo nodig te vervangen.</w:t>
            </w:r>
          </w:p>
        </w:tc>
        <w:tc>
          <w:tcPr>
            <w:tcW w:w="6717" w:type="dxa"/>
          </w:tcPr>
          <w:p w:rsidR="008429EF" w:rsidRDefault="008429EF" w:rsidP="00BB3405">
            <w:pPr>
              <w:spacing w:after="240" w:line="280" w:lineRule="atLeast"/>
              <w:rPr>
                <w:rFonts w:cs="Arial"/>
                <w:sz w:val="18"/>
                <w:szCs w:val="18"/>
                <w:lang w:val="nl-NL"/>
              </w:rPr>
            </w:pPr>
            <w:r>
              <w:rPr>
                <w:rFonts w:cs="Arial"/>
                <w:sz w:val="18"/>
                <w:szCs w:val="18"/>
                <w:lang w:val="nl-NL"/>
              </w:rPr>
              <w:t>Bij ondere</w:t>
            </w:r>
            <w:r w:rsidR="003105FA">
              <w:rPr>
                <w:rFonts w:cs="Arial"/>
                <w:sz w:val="18"/>
                <w:szCs w:val="18"/>
                <w:lang w:val="nl-NL"/>
              </w:rPr>
              <w:t>r</w:t>
            </w:r>
            <w:r>
              <w:rPr>
                <w:rFonts w:cs="Arial"/>
                <w:sz w:val="18"/>
                <w:szCs w:val="18"/>
                <w:lang w:val="nl-NL"/>
              </w:rPr>
              <w:t>fpacht wordt niet gesproken van in eigendom hebben.</w:t>
            </w:r>
          </w:p>
        </w:tc>
      </w:tr>
      <w:tr w:rsidR="008429EF" w:rsidRPr="00290A48" w:rsidTr="00CC1D51">
        <w:trPr>
          <w:trHeight w:val="763"/>
        </w:trPr>
        <w:tc>
          <w:tcPr>
            <w:tcW w:w="6716" w:type="dxa"/>
          </w:tcPr>
          <w:p w:rsidR="008429EF" w:rsidRPr="008429EF" w:rsidRDefault="008429EF" w:rsidP="00A4429E">
            <w:pPr>
              <w:pStyle w:val="ListParagraph"/>
              <w:tabs>
                <w:tab w:val="left" w:pos="567"/>
              </w:tabs>
              <w:spacing w:after="240" w:line="280" w:lineRule="atLeast"/>
              <w:ind w:left="567" w:hanging="567"/>
              <w:rPr>
                <w:i/>
                <w:sz w:val="18"/>
                <w:szCs w:val="18"/>
                <w:lang w:val="nl-NL"/>
              </w:rPr>
            </w:pPr>
            <w:r w:rsidRPr="008429EF">
              <w:rPr>
                <w:i/>
                <w:sz w:val="18"/>
                <w:szCs w:val="18"/>
                <w:lang w:val="nl-NL"/>
              </w:rPr>
              <w:t>8.3</w:t>
            </w:r>
            <w:r w:rsidRPr="008429EF">
              <w:rPr>
                <w:i/>
                <w:sz w:val="18"/>
                <w:szCs w:val="18"/>
                <w:lang w:val="nl-NL"/>
              </w:rPr>
              <w:tab/>
              <w:t xml:space="preserve">Ondererfpachter is gerechtigd van de bestaande EAN-aansluiting op de Onroerende Zaak gebruik te maken voor de levering van elektriciteit aan het openbare elektranet. Onder deze bevoegdheid is begrepen het recht voor Ondererfpachter om voor zichzelf namens Erfpachter een extra secundair allocatiepunt op de bestaande EAN-aansluiting aan te vragen. Erfpachter is aldus gehouden een dergelijk gebruik te dulden en de betreffende EAN-aansluiting in stand te houden. </w:t>
            </w:r>
          </w:p>
          <w:p w:rsidR="008429EF" w:rsidRPr="008429EF" w:rsidRDefault="008429EF" w:rsidP="008429EF">
            <w:pPr>
              <w:pStyle w:val="ListParagraph"/>
              <w:tabs>
                <w:tab w:val="left" w:pos="567"/>
              </w:tabs>
              <w:spacing w:after="240" w:line="280" w:lineRule="atLeast"/>
              <w:ind w:left="567"/>
              <w:rPr>
                <w:i/>
                <w:sz w:val="18"/>
                <w:szCs w:val="18"/>
                <w:lang w:val="nl-NL"/>
              </w:rPr>
            </w:pPr>
            <w:r w:rsidRPr="008429EF">
              <w:rPr>
                <w:i/>
                <w:sz w:val="18"/>
                <w:szCs w:val="18"/>
                <w:lang w:val="nl-NL"/>
              </w:rPr>
              <w:t xml:space="preserve">Ondererfpachter heeft daarnaast te allen tijde de bevoegdheid voor eigen rekening de Opstallen aan te sluiten op het openbare elektranet en is als zodanig ook bevoegd een eigen (additionele) EAN-aansluiting op de Onroerende Zaak </w:t>
            </w:r>
            <w:proofErr w:type="spellStart"/>
            <w:r w:rsidRPr="008429EF">
              <w:rPr>
                <w:i/>
                <w:sz w:val="18"/>
                <w:szCs w:val="18"/>
                <w:lang w:val="nl-NL"/>
              </w:rPr>
              <w:t>casu</w:t>
            </w:r>
            <w:proofErr w:type="spellEnd"/>
            <w:r w:rsidRPr="008429EF">
              <w:rPr>
                <w:i/>
                <w:sz w:val="18"/>
                <w:szCs w:val="18"/>
                <w:lang w:val="nl-NL"/>
              </w:rPr>
              <w:t xml:space="preserve"> quo in het Gebouw aan te brengen.</w:t>
            </w:r>
          </w:p>
        </w:tc>
        <w:tc>
          <w:tcPr>
            <w:tcW w:w="6717" w:type="dxa"/>
          </w:tcPr>
          <w:p w:rsidR="008429EF" w:rsidRDefault="008429EF" w:rsidP="00BB3405">
            <w:pPr>
              <w:spacing w:after="240" w:line="280" w:lineRule="atLeast"/>
              <w:rPr>
                <w:rFonts w:cs="Arial"/>
                <w:sz w:val="18"/>
                <w:szCs w:val="18"/>
                <w:lang w:val="nl-NL"/>
              </w:rPr>
            </w:pPr>
            <w:r>
              <w:rPr>
                <w:rFonts w:cs="Arial"/>
                <w:sz w:val="18"/>
                <w:szCs w:val="18"/>
                <w:lang w:val="nl-NL"/>
              </w:rPr>
              <w:t xml:space="preserve">Hier wordt melding gemaakt van </w:t>
            </w:r>
            <w:r w:rsidR="0022448C">
              <w:rPr>
                <w:rFonts w:cs="Arial"/>
                <w:sz w:val="18"/>
                <w:szCs w:val="18"/>
                <w:lang w:val="nl-NL"/>
              </w:rPr>
              <w:t xml:space="preserve">de mogelijkheid een </w:t>
            </w:r>
            <w:r w:rsidR="0022448C" w:rsidRPr="0022448C">
              <w:rPr>
                <w:rFonts w:cs="Arial"/>
                <w:sz w:val="18"/>
                <w:szCs w:val="18"/>
                <w:lang w:val="nl-NL"/>
              </w:rPr>
              <w:t>secundair allocatiepunt</w:t>
            </w:r>
            <w:r w:rsidR="0022448C">
              <w:rPr>
                <w:rFonts w:cs="Arial"/>
                <w:sz w:val="18"/>
                <w:szCs w:val="18"/>
                <w:lang w:val="nl-NL"/>
              </w:rPr>
              <w:t xml:space="preserve"> aan te vragen.</w:t>
            </w:r>
            <w:r w:rsidR="0097366E">
              <w:rPr>
                <w:rFonts w:cs="Arial"/>
                <w:sz w:val="18"/>
                <w:szCs w:val="18"/>
                <w:lang w:val="nl-NL"/>
              </w:rPr>
              <w:t xml:space="preserve"> Dit zal in een volgende versie van het basismodel ook worden toegevoegd. Dit is mogelijk geworden op basis van een code besluit van de ACM.</w:t>
            </w:r>
          </w:p>
        </w:tc>
      </w:tr>
      <w:tr w:rsidR="0097366E" w:rsidRPr="003303BD" w:rsidTr="0097366E">
        <w:trPr>
          <w:trHeight w:val="416"/>
        </w:trPr>
        <w:tc>
          <w:tcPr>
            <w:tcW w:w="6716" w:type="dxa"/>
          </w:tcPr>
          <w:p w:rsidR="0097366E" w:rsidRPr="0097366E" w:rsidRDefault="008771B6" w:rsidP="008771B6">
            <w:pPr>
              <w:pStyle w:val="ListParagraph"/>
              <w:tabs>
                <w:tab w:val="left" w:pos="567"/>
              </w:tabs>
              <w:spacing w:after="240" w:line="280" w:lineRule="atLeast"/>
              <w:ind w:left="567" w:hanging="567"/>
              <w:rPr>
                <w:i/>
                <w:sz w:val="18"/>
                <w:szCs w:val="18"/>
                <w:lang w:val="nl-NL"/>
              </w:rPr>
            </w:pPr>
            <w:r>
              <w:rPr>
                <w:i/>
                <w:sz w:val="18"/>
                <w:szCs w:val="18"/>
                <w:lang w:val="nl-NL"/>
              </w:rPr>
              <w:t xml:space="preserve">16.2.    </w:t>
            </w:r>
            <w:r w:rsidR="0097366E" w:rsidRPr="0097366E">
              <w:rPr>
                <w:i/>
                <w:sz w:val="18"/>
                <w:szCs w:val="18"/>
                <w:lang w:val="nl-NL"/>
              </w:rPr>
              <w:t>Indien op grond van de Erfpacht de Erfpachter voor het verrichten van een hiervoor in artikel 16.1 sub (a) tot en met (i) genoemde rechtshandeling slechts bevoegd is na voorafgaande toestemming van Grondeigenaar, dan is Ondererfpacht daartoe eveneens slechts bevoegd na voorafgaande toestemming van de Grondeigenaar.</w:t>
            </w:r>
          </w:p>
        </w:tc>
        <w:tc>
          <w:tcPr>
            <w:tcW w:w="6717" w:type="dxa"/>
          </w:tcPr>
          <w:p w:rsidR="0097366E" w:rsidRDefault="0097366E" w:rsidP="00BB3405">
            <w:pPr>
              <w:spacing w:after="240" w:line="280" w:lineRule="atLeast"/>
              <w:rPr>
                <w:rFonts w:cs="Arial"/>
                <w:sz w:val="18"/>
                <w:szCs w:val="18"/>
                <w:lang w:val="nl-NL"/>
              </w:rPr>
            </w:pPr>
            <w:r>
              <w:rPr>
                <w:rFonts w:cs="Arial"/>
                <w:sz w:val="18"/>
                <w:szCs w:val="18"/>
                <w:lang w:val="nl-NL"/>
              </w:rPr>
              <w:t xml:space="preserve">De erfpachter kan aan de </w:t>
            </w:r>
            <w:proofErr w:type="spellStart"/>
            <w:r>
              <w:rPr>
                <w:rFonts w:cs="Arial"/>
                <w:sz w:val="18"/>
                <w:szCs w:val="18"/>
                <w:lang w:val="nl-NL"/>
              </w:rPr>
              <w:t>ondererfpachter</w:t>
            </w:r>
            <w:proofErr w:type="spellEnd"/>
            <w:r>
              <w:rPr>
                <w:rFonts w:cs="Arial"/>
                <w:sz w:val="18"/>
                <w:szCs w:val="18"/>
                <w:lang w:val="nl-NL"/>
              </w:rPr>
              <w:t xml:space="preserve"> niet meer rechten verschaffen dan hijzelf heeft. Vandaar dat deze clausule is toegevoegd.</w:t>
            </w:r>
          </w:p>
        </w:tc>
      </w:tr>
      <w:tr w:rsidR="008623CC" w:rsidRPr="00290A48" w:rsidTr="0097366E">
        <w:trPr>
          <w:trHeight w:val="416"/>
        </w:trPr>
        <w:tc>
          <w:tcPr>
            <w:tcW w:w="6716" w:type="dxa"/>
          </w:tcPr>
          <w:p w:rsidR="008623CC" w:rsidRDefault="008623CC" w:rsidP="008771B6">
            <w:pPr>
              <w:pStyle w:val="ListParagraph"/>
              <w:spacing w:after="240" w:line="280" w:lineRule="atLeast"/>
              <w:ind w:left="567" w:hanging="567"/>
              <w:rPr>
                <w:i/>
                <w:sz w:val="18"/>
                <w:szCs w:val="18"/>
                <w:lang w:val="nl-NL"/>
              </w:rPr>
            </w:pPr>
            <w:r>
              <w:rPr>
                <w:i/>
                <w:sz w:val="18"/>
                <w:szCs w:val="18"/>
                <w:lang w:val="nl-NL"/>
              </w:rPr>
              <w:t>20.2</w:t>
            </w:r>
            <w:r w:rsidR="00C300E3">
              <w:rPr>
                <w:i/>
                <w:sz w:val="18"/>
                <w:szCs w:val="18"/>
                <w:lang w:val="nl-NL"/>
              </w:rPr>
              <w:t xml:space="preserve">    </w:t>
            </w:r>
            <w:r w:rsidRPr="008623CC">
              <w:rPr>
                <w:i/>
                <w:sz w:val="18"/>
                <w:szCs w:val="18"/>
                <w:lang w:val="nl-NL"/>
              </w:rPr>
              <w:t>[OPTIE: Bij het einde van de Ondererfpacht is Ondererfpachter gerechtigd de</w:t>
            </w:r>
            <w:r>
              <w:rPr>
                <w:i/>
                <w:sz w:val="18"/>
                <w:szCs w:val="18"/>
                <w:lang w:val="nl-NL"/>
              </w:rPr>
              <w:t xml:space="preserve"> </w:t>
            </w:r>
            <w:r w:rsidRPr="008623CC">
              <w:rPr>
                <w:i/>
                <w:sz w:val="18"/>
                <w:szCs w:val="18"/>
                <w:lang w:val="nl-NL"/>
              </w:rPr>
              <w:t>Opstallen achter te laten. Erfpachter is niet gehouden voor de verkrijging van</w:t>
            </w:r>
            <w:r>
              <w:rPr>
                <w:i/>
                <w:sz w:val="18"/>
                <w:szCs w:val="18"/>
                <w:lang w:val="nl-NL"/>
              </w:rPr>
              <w:t xml:space="preserve"> </w:t>
            </w:r>
            <w:r w:rsidRPr="008623CC">
              <w:rPr>
                <w:i/>
                <w:sz w:val="18"/>
                <w:szCs w:val="18"/>
                <w:lang w:val="nl-NL"/>
              </w:rPr>
              <w:t>de Opstallen een vergoeding te voldoen.]</w:t>
            </w:r>
          </w:p>
          <w:p w:rsidR="008623CC" w:rsidRDefault="008623CC" w:rsidP="00A4429E">
            <w:pPr>
              <w:pStyle w:val="ListParagraph"/>
              <w:tabs>
                <w:tab w:val="left" w:pos="851"/>
              </w:tabs>
              <w:spacing w:after="240" w:line="280" w:lineRule="atLeast"/>
              <w:ind w:left="567" w:hanging="567"/>
              <w:rPr>
                <w:i/>
                <w:sz w:val="18"/>
                <w:szCs w:val="18"/>
                <w:lang w:val="nl-NL"/>
              </w:rPr>
            </w:pPr>
          </w:p>
          <w:p w:rsidR="008623CC" w:rsidRPr="008623CC" w:rsidRDefault="008623CC" w:rsidP="008771B6">
            <w:pPr>
              <w:pStyle w:val="ListParagraph"/>
              <w:spacing w:after="240" w:line="280" w:lineRule="atLeast"/>
              <w:ind w:left="567"/>
              <w:rPr>
                <w:i/>
                <w:sz w:val="18"/>
                <w:szCs w:val="18"/>
                <w:lang w:val="nl-NL"/>
              </w:rPr>
            </w:pPr>
            <w:r w:rsidRPr="008623CC">
              <w:rPr>
                <w:i/>
                <w:sz w:val="18"/>
                <w:szCs w:val="18"/>
                <w:lang w:val="nl-NL"/>
              </w:rPr>
              <w:t xml:space="preserve">[OPTIE: Bij het einde van de Ondererfpacht is Ondererfpachter gerechtigd </w:t>
            </w:r>
            <w:r w:rsidRPr="008623CC">
              <w:rPr>
                <w:i/>
                <w:sz w:val="18"/>
                <w:szCs w:val="18"/>
                <w:lang w:val="nl-NL"/>
              </w:rPr>
              <w:lastRenderedPageBreak/>
              <w:t>doch niet verplicht de Opstallen weg te nemen en bij wegneming het Dak, het Gebouw en de Onroerende Zaak voor eigen rekening en risico in de oude toestand terug te brengen, rekening houdend met normale slijtage, tenzij Erfpachter schriftelijk heeft verzocht de Opstallen achter te laten in welk geval Erfpachter een marktconforme redelijke vergoeding voor de Opstallen verschuldigd zal zijn, waarbij rekening wordt gehouden met de gangbare afschrijving.]</w:t>
            </w:r>
          </w:p>
          <w:p w:rsidR="008623CC" w:rsidRPr="008623CC" w:rsidRDefault="008623CC" w:rsidP="00A4429E">
            <w:pPr>
              <w:pStyle w:val="ListParagraph"/>
              <w:tabs>
                <w:tab w:val="left" w:pos="851"/>
              </w:tabs>
              <w:spacing w:after="240" w:line="280" w:lineRule="atLeast"/>
              <w:ind w:left="567" w:hanging="567"/>
              <w:rPr>
                <w:i/>
                <w:sz w:val="18"/>
                <w:szCs w:val="18"/>
                <w:lang w:val="nl-NL"/>
              </w:rPr>
            </w:pPr>
          </w:p>
          <w:p w:rsidR="008623CC" w:rsidRPr="008623CC" w:rsidRDefault="008623CC" w:rsidP="008771B6">
            <w:pPr>
              <w:pStyle w:val="ListParagraph"/>
              <w:spacing w:after="240" w:line="280" w:lineRule="atLeast"/>
              <w:ind w:left="567"/>
              <w:rPr>
                <w:i/>
                <w:sz w:val="18"/>
                <w:szCs w:val="18"/>
                <w:lang w:val="nl-NL"/>
              </w:rPr>
            </w:pPr>
            <w:r w:rsidRPr="008623CC">
              <w:rPr>
                <w:i/>
                <w:sz w:val="18"/>
                <w:szCs w:val="18"/>
                <w:lang w:val="nl-NL"/>
              </w:rPr>
              <w:t xml:space="preserve">[OPTIE: Bij het einde van de Ondererfpacht is Opstaller gerechtigd doch niet verplicht de Opstallen weg te nemen en bij wegneming het Dak, het Gebouw en de Onroerende Zaak voor eigen rekening en risico in de oude toestand terug te brengen, rekening houdend met normale slijtage, tenzij Erfpachter schriftelijk heeft verzocht de Opstallen achter te laten in welk geval Erfpachter een vergoeding van </w:t>
            </w:r>
            <w:r>
              <w:rPr>
                <w:i/>
                <w:sz w:val="18"/>
                <w:szCs w:val="18"/>
                <w:lang w:val="nl-NL"/>
              </w:rPr>
              <w:sym w:font="Wingdings" w:char="F06C"/>
            </w:r>
            <w:r w:rsidRPr="008623CC">
              <w:rPr>
                <w:i/>
                <w:sz w:val="18"/>
                <w:szCs w:val="18"/>
                <w:lang w:val="nl-NL"/>
              </w:rPr>
              <w:t xml:space="preserve"> euro (EUR </w:t>
            </w:r>
            <w:r>
              <w:rPr>
                <w:i/>
                <w:sz w:val="18"/>
                <w:szCs w:val="18"/>
                <w:lang w:val="nl-NL"/>
              </w:rPr>
              <w:sym w:font="Wingdings" w:char="F06C"/>
            </w:r>
            <w:r w:rsidR="0055739E">
              <w:rPr>
                <w:i/>
                <w:sz w:val="18"/>
                <w:szCs w:val="18"/>
                <w:lang w:val="nl-NL"/>
              </w:rPr>
              <w:t xml:space="preserve">) </w:t>
            </w:r>
            <w:r w:rsidRPr="008623CC">
              <w:rPr>
                <w:i/>
                <w:sz w:val="18"/>
                <w:szCs w:val="18"/>
                <w:lang w:val="nl-NL"/>
              </w:rPr>
              <w:t>voor de Opstallen verschuldigd zal zijn.]</w:t>
            </w:r>
          </w:p>
        </w:tc>
        <w:tc>
          <w:tcPr>
            <w:tcW w:w="6717" w:type="dxa"/>
          </w:tcPr>
          <w:p w:rsidR="008623CC" w:rsidRDefault="008623CC" w:rsidP="00FE5748">
            <w:pPr>
              <w:spacing w:after="240" w:line="280" w:lineRule="atLeast"/>
              <w:rPr>
                <w:rFonts w:cs="Arial"/>
                <w:sz w:val="18"/>
                <w:szCs w:val="18"/>
                <w:lang w:val="nl-NL"/>
              </w:rPr>
            </w:pPr>
            <w:r>
              <w:rPr>
                <w:rFonts w:cs="Arial"/>
                <w:sz w:val="18"/>
                <w:szCs w:val="18"/>
                <w:lang w:val="nl-NL"/>
              </w:rPr>
              <w:lastRenderedPageBreak/>
              <w:t xml:space="preserve">Ten opzichte van het basismodel zijn enkele </w:t>
            </w:r>
            <w:r w:rsidR="0055739E">
              <w:rPr>
                <w:rFonts w:cs="Arial"/>
                <w:sz w:val="18"/>
                <w:szCs w:val="18"/>
                <w:lang w:val="nl-NL"/>
              </w:rPr>
              <w:t xml:space="preserve">opties toegevoegd </w:t>
            </w:r>
            <w:r w:rsidR="003105FA">
              <w:rPr>
                <w:rFonts w:cs="Arial"/>
                <w:sz w:val="18"/>
                <w:szCs w:val="18"/>
                <w:lang w:val="nl-NL"/>
              </w:rPr>
              <w:t>over einde</w:t>
            </w:r>
            <w:r w:rsidR="00FE5748">
              <w:rPr>
                <w:rFonts w:cs="Arial"/>
                <w:sz w:val="18"/>
                <w:szCs w:val="18"/>
                <w:lang w:val="nl-NL"/>
              </w:rPr>
              <w:t xml:space="preserve"> van de </w:t>
            </w:r>
            <w:r w:rsidR="003105FA">
              <w:rPr>
                <w:rFonts w:cs="Arial"/>
                <w:sz w:val="18"/>
                <w:szCs w:val="18"/>
                <w:lang w:val="nl-NL"/>
              </w:rPr>
              <w:t>Ondererfpacht. Deze komen voort uit evaluatie van het basismodel en zullen in een volgende versie ook aan het basismodel worden toegevoegd.</w:t>
            </w:r>
          </w:p>
        </w:tc>
      </w:tr>
      <w:tr w:rsidR="0097366E" w:rsidRPr="00290A48" w:rsidTr="00CC1D51">
        <w:trPr>
          <w:trHeight w:val="763"/>
        </w:trPr>
        <w:tc>
          <w:tcPr>
            <w:tcW w:w="6716" w:type="dxa"/>
          </w:tcPr>
          <w:p w:rsidR="0097366E" w:rsidRPr="00A4429E" w:rsidRDefault="0097366E" w:rsidP="00A4429E">
            <w:pPr>
              <w:pStyle w:val="LLDeedWhereas"/>
              <w:numPr>
                <w:ilvl w:val="0"/>
                <w:numId w:val="20"/>
              </w:numPr>
              <w:rPr>
                <w:b/>
                <w:i/>
              </w:rPr>
            </w:pPr>
            <w:bookmarkStart w:id="0" w:name="_Ref2177195"/>
            <w:bookmarkStart w:id="1" w:name="_Ref6308628"/>
            <w:r w:rsidRPr="00A4429E">
              <w:rPr>
                <w:b/>
                <w:i/>
              </w:rPr>
              <w:lastRenderedPageBreak/>
              <w:t>POSITIE GRONDEIGENAAR</w:t>
            </w:r>
            <w:bookmarkEnd w:id="0"/>
            <w:r w:rsidRPr="00A4429E">
              <w:rPr>
                <w:b/>
                <w:i/>
              </w:rPr>
              <w:t xml:space="preserve"> EN KETTINGBEDING</w:t>
            </w:r>
            <w:bookmarkEnd w:id="1"/>
          </w:p>
          <w:p w:rsidR="0097366E" w:rsidRPr="0097366E" w:rsidRDefault="0097366E" w:rsidP="0055739E">
            <w:pPr>
              <w:pStyle w:val="LLDeedHeading"/>
              <w:numPr>
                <w:ilvl w:val="0"/>
                <w:numId w:val="3"/>
              </w:numPr>
              <w:tabs>
                <w:tab w:val="clear" w:pos="567"/>
                <w:tab w:val="num" w:pos="1134"/>
              </w:tabs>
              <w:ind w:firstLine="0"/>
              <w:rPr>
                <w:i/>
              </w:rPr>
            </w:pPr>
            <w:bookmarkStart w:id="2" w:name="_Ref6308607"/>
            <w:r w:rsidRPr="0097366E">
              <w:rPr>
                <w:i/>
              </w:rPr>
              <w:t>Positie Grondeigenaar</w:t>
            </w:r>
            <w:bookmarkEnd w:id="2"/>
          </w:p>
          <w:p w:rsidR="0097366E" w:rsidRPr="0097366E" w:rsidRDefault="0097366E" w:rsidP="00A4429E">
            <w:pPr>
              <w:pStyle w:val="LLDeedHeading2"/>
              <w:numPr>
                <w:ilvl w:val="1"/>
                <w:numId w:val="3"/>
              </w:numPr>
              <w:tabs>
                <w:tab w:val="clear" w:pos="567"/>
              </w:tabs>
              <w:ind w:left="1134"/>
              <w:rPr>
                <w:rFonts w:cs="Arial"/>
                <w:i/>
                <w:color w:val="000000"/>
              </w:rPr>
            </w:pPr>
            <w:r w:rsidRPr="0097366E">
              <w:rPr>
                <w:rFonts w:cs="Arial"/>
                <w:i/>
                <w:color w:val="000000"/>
              </w:rPr>
              <w:t>Grondeigenaar verklaart:</w:t>
            </w:r>
          </w:p>
          <w:p w:rsidR="0097366E" w:rsidRPr="0097366E" w:rsidRDefault="0097366E" w:rsidP="00EF77A0">
            <w:pPr>
              <w:numPr>
                <w:ilvl w:val="2"/>
                <w:numId w:val="12"/>
              </w:numPr>
              <w:tabs>
                <w:tab w:val="clear" w:pos="1134"/>
                <w:tab w:val="num" w:pos="1701"/>
              </w:tabs>
              <w:suppressAutoHyphens/>
              <w:spacing w:line="280" w:lineRule="atLeast"/>
              <w:ind w:left="1701"/>
              <w:rPr>
                <w:i/>
                <w:lang w:val="nl-NL"/>
              </w:rPr>
            </w:pPr>
            <w:r w:rsidRPr="0097366E">
              <w:rPr>
                <w:i/>
                <w:lang w:val="nl-NL"/>
              </w:rPr>
              <w:t>voor</w:t>
            </w:r>
            <w:r w:rsidR="00A4429E">
              <w:rPr>
                <w:i/>
                <w:lang w:val="nl-NL"/>
              </w:rPr>
              <w:t xml:space="preserve"> zover vereist, op grond van de </w:t>
            </w:r>
            <w:r w:rsidRPr="0097366E">
              <w:rPr>
                <w:i/>
                <w:lang w:val="nl-NL"/>
              </w:rPr>
              <w:t>Erfpachtbepalingen of op andere gronden, toestemming te verlenen voor het vestigen van de Ondererfpacht;</w:t>
            </w:r>
          </w:p>
          <w:p w:rsidR="0097366E" w:rsidRPr="0097366E" w:rsidRDefault="0097366E" w:rsidP="00EF77A0">
            <w:pPr>
              <w:numPr>
                <w:ilvl w:val="2"/>
                <w:numId w:val="12"/>
              </w:numPr>
              <w:tabs>
                <w:tab w:val="clear" w:pos="1134"/>
                <w:tab w:val="num" w:pos="1701"/>
              </w:tabs>
              <w:suppressAutoHyphens/>
              <w:spacing w:line="280" w:lineRule="atLeast"/>
              <w:ind w:left="1701"/>
              <w:rPr>
                <w:i/>
                <w:lang w:val="nl-NL"/>
              </w:rPr>
            </w:pPr>
            <w:r w:rsidRPr="0097366E">
              <w:rPr>
                <w:i/>
                <w:lang w:val="nl-NL"/>
              </w:rPr>
              <w:t>dat de Ondererfpacht niet meer bevoegdheden bevat dan de Erfpacht;</w:t>
            </w:r>
          </w:p>
          <w:p w:rsidR="0097366E" w:rsidRPr="0097366E" w:rsidRDefault="0097366E" w:rsidP="00EF77A0">
            <w:pPr>
              <w:numPr>
                <w:ilvl w:val="2"/>
                <w:numId w:val="12"/>
              </w:numPr>
              <w:tabs>
                <w:tab w:val="clear" w:pos="1134"/>
                <w:tab w:val="num" w:pos="1701"/>
              </w:tabs>
              <w:suppressAutoHyphens/>
              <w:spacing w:line="280" w:lineRule="atLeast"/>
              <w:ind w:left="1701"/>
              <w:rPr>
                <w:i/>
                <w:lang w:val="nl-NL"/>
              </w:rPr>
            </w:pPr>
            <w:r w:rsidRPr="0097366E">
              <w:rPr>
                <w:i/>
                <w:lang w:val="nl-NL"/>
              </w:rPr>
              <w:t>met de vestiging van de Ondererfpacht in te stemmen in de zin van artikel 5:93 lid 2 laatste zin Burgerlijk Wetboek als gevolg van welke instemming de Ondererfpacht niet van rechtswege teniet gaat bij het eindigen van de Erfpacht en Grondeigenaar de Erfpacht niet kan uitwinnen vrij van de Ondererfpacht voor de ter zake de Erfpacht verschuldigde canon;</w:t>
            </w:r>
          </w:p>
          <w:p w:rsidR="0097366E" w:rsidRPr="0097366E" w:rsidRDefault="00680CC2" w:rsidP="00EF77A0">
            <w:pPr>
              <w:numPr>
                <w:ilvl w:val="2"/>
                <w:numId w:val="12"/>
              </w:numPr>
              <w:tabs>
                <w:tab w:val="clear" w:pos="1134"/>
                <w:tab w:val="num" w:pos="1701"/>
              </w:tabs>
              <w:suppressAutoHyphens/>
              <w:spacing w:line="280" w:lineRule="atLeast"/>
              <w:ind w:left="1701"/>
              <w:rPr>
                <w:i/>
                <w:lang w:val="nl-NL"/>
              </w:rPr>
            </w:pPr>
            <w:r w:rsidRPr="00A4429E">
              <w:rPr>
                <w:i/>
                <w:lang w:val="nl-NL"/>
              </w:rPr>
              <w:t xml:space="preserve">indien de Erfpacht is geëindigd, terwijl de </w:t>
            </w:r>
            <w:r w:rsidRPr="00A4429E">
              <w:rPr>
                <w:i/>
                <w:lang w:val="nl-NL"/>
              </w:rPr>
              <w:lastRenderedPageBreak/>
              <w:t>Ondererfpacht alsdan nog voortduurt, geldt (i) dat waar in artikel 21 wordt gesproken over (een verplichting voor) Erfpachter, daarvoor Grondeigenaar gelezen kan worden en dat waar in artikel 21 wordt gesproken over Erfpacht, daarvoor Onroerende Zaak gelezen kan worden. Grondeigenaar neemt de voor haar daaruit voortvloeiende verplichtingen bij dezen aan</w:t>
            </w:r>
            <w:r w:rsidR="0097366E" w:rsidRPr="0097366E">
              <w:rPr>
                <w:i/>
                <w:lang w:val="nl-NL"/>
              </w:rPr>
              <w:t>.</w:t>
            </w:r>
          </w:p>
          <w:p w:rsidR="0097366E" w:rsidRPr="0097366E" w:rsidRDefault="0097366E" w:rsidP="00A4429E">
            <w:pPr>
              <w:pStyle w:val="LLDeedHeading2"/>
              <w:numPr>
                <w:ilvl w:val="1"/>
                <w:numId w:val="3"/>
              </w:numPr>
              <w:tabs>
                <w:tab w:val="clear" w:pos="567"/>
              </w:tabs>
              <w:ind w:left="1134"/>
              <w:rPr>
                <w:i/>
              </w:rPr>
            </w:pPr>
            <w:bookmarkStart w:id="3" w:name="_Ref2178993"/>
            <w:r w:rsidRPr="0097366E">
              <w:rPr>
                <w:rFonts w:cs="Arial"/>
                <w:i/>
                <w:color w:val="000000"/>
              </w:rPr>
              <w:t xml:space="preserve">Grondeigenaar </w:t>
            </w:r>
            <w:r w:rsidR="00680CC2">
              <w:rPr>
                <w:rFonts w:cs="Arial"/>
                <w:i/>
                <w:color w:val="000000"/>
              </w:rPr>
              <w:t xml:space="preserve">en Ondererfpachter komen voorts </w:t>
            </w:r>
            <w:r w:rsidRPr="0097366E">
              <w:rPr>
                <w:rFonts w:cs="Arial"/>
                <w:i/>
                <w:color w:val="000000"/>
              </w:rPr>
              <w:t xml:space="preserve">nadrukkelijk overeen dat indien </w:t>
            </w:r>
            <w:r w:rsidRPr="0097366E">
              <w:rPr>
                <w:i/>
              </w:rPr>
              <w:t>de Erfpacht eindigt terwijl de Ondererfpacht alsdan nog voortduurt:</w:t>
            </w:r>
            <w:bookmarkEnd w:id="3"/>
          </w:p>
          <w:p w:rsidR="0068717E" w:rsidRDefault="0097366E" w:rsidP="00A4429E">
            <w:pPr>
              <w:numPr>
                <w:ilvl w:val="2"/>
                <w:numId w:val="22"/>
              </w:numPr>
              <w:tabs>
                <w:tab w:val="clear" w:pos="1134"/>
                <w:tab w:val="num" w:pos="1701"/>
              </w:tabs>
              <w:suppressAutoHyphens/>
              <w:spacing w:line="280" w:lineRule="atLeast"/>
              <w:ind w:left="1701"/>
              <w:rPr>
                <w:i/>
                <w:lang w:val="nl-NL"/>
              </w:rPr>
            </w:pPr>
            <w:r w:rsidRPr="00A4429E">
              <w:rPr>
                <w:i/>
                <w:lang w:val="nl-NL"/>
              </w:rPr>
              <w:t>Grondeigenaar</w:t>
            </w:r>
            <w:r w:rsidRPr="0097366E">
              <w:rPr>
                <w:i/>
                <w:lang w:val="nl-NL"/>
              </w:rPr>
              <w:t xml:space="preserve"> het recht heeft een nieuwe erfpacht ten aanzien van de Onroerende Zaak te vestigen onder dezelfde bepalingen en bedingen als de huidige Erfpacht, en Ondererfpachter daaraan zal medewerken; en</w:t>
            </w:r>
          </w:p>
          <w:p w:rsidR="0097366E" w:rsidRPr="0068717E" w:rsidRDefault="0097366E" w:rsidP="00A4429E">
            <w:pPr>
              <w:numPr>
                <w:ilvl w:val="2"/>
                <w:numId w:val="22"/>
              </w:numPr>
              <w:tabs>
                <w:tab w:val="clear" w:pos="1134"/>
                <w:tab w:val="num" w:pos="1701"/>
              </w:tabs>
              <w:suppressAutoHyphens/>
              <w:spacing w:line="280" w:lineRule="atLeast"/>
              <w:ind w:left="1701"/>
              <w:rPr>
                <w:i/>
                <w:lang w:val="nl-NL"/>
              </w:rPr>
            </w:pPr>
            <w:r w:rsidRPr="0068717E">
              <w:rPr>
                <w:i/>
                <w:lang w:val="nl-NL"/>
              </w:rPr>
              <w:t>indien dat verlangd wordt door de Grondeigenaar en de nieuwe erfpachter, zal Ondererfpachter medewerking verlenen aan alle benodigde rechtshandelingen om het ertoe te leiden dat de Ondererfpacht alsdan weer een ondererfpacht wordt van de nieuwe erfpacht onder bepalingen en bedingen die niet nadeliger zijn voor de Ondererfpachter</w:t>
            </w:r>
            <w:r w:rsidRPr="00A4429E">
              <w:rPr>
                <w:i/>
                <w:lang w:val="nl-NL"/>
              </w:rPr>
              <w:t>.</w:t>
            </w:r>
            <w:bookmarkStart w:id="4" w:name="_Ref2352361"/>
            <w:r w:rsidRPr="00A4429E">
              <w:rPr>
                <w:i/>
                <w:lang w:val="nl-NL"/>
              </w:rPr>
              <w:t xml:space="preserve"> </w:t>
            </w:r>
          </w:p>
          <w:p w:rsidR="0097366E" w:rsidRPr="0055739E" w:rsidRDefault="0097366E" w:rsidP="0055739E">
            <w:pPr>
              <w:pStyle w:val="LLDeedHeading"/>
              <w:numPr>
                <w:ilvl w:val="0"/>
                <w:numId w:val="3"/>
              </w:numPr>
              <w:tabs>
                <w:tab w:val="clear" w:pos="567"/>
                <w:tab w:val="num" w:pos="1134"/>
              </w:tabs>
              <w:ind w:firstLine="0"/>
              <w:rPr>
                <w:i/>
              </w:rPr>
            </w:pPr>
            <w:bookmarkStart w:id="5" w:name="_Ref22125726"/>
            <w:r w:rsidRPr="0055739E">
              <w:rPr>
                <w:i/>
              </w:rPr>
              <w:t>Kettingbeding</w:t>
            </w:r>
            <w:bookmarkEnd w:id="4"/>
            <w:bookmarkEnd w:id="5"/>
          </w:p>
          <w:p w:rsidR="0097366E" w:rsidRPr="0068717E" w:rsidRDefault="0097366E" w:rsidP="00EF77A0">
            <w:pPr>
              <w:pStyle w:val="LLDeedHeading2"/>
              <w:numPr>
                <w:ilvl w:val="1"/>
                <w:numId w:val="3"/>
              </w:numPr>
              <w:tabs>
                <w:tab w:val="clear" w:pos="567"/>
                <w:tab w:val="num" w:pos="1134"/>
              </w:tabs>
              <w:ind w:left="1134"/>
              <w:rPr>
                <w:i/>
              </w:rPr>
            </w:pPr>
            <w:r w:rsidRPr="0068717E">
              <w:rPr>
                <w:rFonts w:cs="Arial"/>
                <w:i/>
                <w:color w:val="000000"/>
              </w:rPr>
              <w:t xml:space="preserve">Ten aanzien van het bepaalde in artikel </w:t>
            </w:r>
            <w:r w:rsidRPr="0068717E">
              <w:rPr>
                <w:rFonts w:cs="Arial"/>
                <w:i/>
                <w:color w:val="000000"/>
              </w:rPr>
              <w:fldChar w:fldCharType="begin"/>
            </w:r>
            <w:r w:rsidRPr="0068717E">
              <w:rPr>
                <w:rFonts w:cs="Arial"/>
                <w:i/>
                <w:color w:val="000000"/>
              </w:rPr>
              <w:instrText xml:space="preserve"> REF _Ref2178993 \r \h </w:instrText>
            </w:r>
            <w:r w:rsidR="0068717E">
              <w:rPr>
                <w:rFonts w:cs="Arial"/>
                <w:i/>
                <w:color w:val="000000"/>
              </w:rPr>
              <w:instrText xml:space="preserve"> \* MERGEFORMAT </w:instrText>
            </w:r>
            <w:r w:rsidRPr="0068717E">
              <w:rPr>
                <w:rFonts w:cs="Arial"/>
                <w:i/>
                <w:color w:val="000000"/>
              </w:rPr>
            </w:r>
            <w:r w:rsidRPr="0068717E">
              <w:rPr>
                <w:rFonts w:cs="Arial"/>
                <w:i/>
                <w:color w:val="000000"/>
              </w:rPr>
              <w:fldChar w:fldCharType="separate"/>
            </w:r>
            <w:r w:rsidR="0068717E">
              <w:rPr>
                <w:rFonts w:cs="Arial"/>
                <w:i/>
                <w:color w:val="000000"/>
              </w:rPr>
              <w:t>23.2</w:t>
            </w:r>
            <w:r w:rsidRPr="0068717E">
              <w:rPr>
                <w:rFonts w:cs="Arial"/>
                <w:i/>
                <w:color w:val="000000"/>
              </w:rPr>
              <w:fldChar w:fldCharType="end"/>
            </w:r>
            <w:r w:rsidRPr="0068717E">
              <w:rPr>
                <w:rFonts w:cs="Arial"/>
                <w:i/>
                <w:color w:val="000000"/>
              </w:rPr>
              <w:t xml:space="preserve"> komen Grondeigenaar en Ondererfpachter </w:t>
            </w:r>
            <w:r w:rsidRPr="0068717E">
              <w:rPr>
                <w:i/>
              </w:rPr>
              <w:t xml:space="preserve">hierbij overeen dat zij (alsmede hun rechtsopvolgers) jegens elkaar (alsmede hun rechtsopvolgers) verplicht zijn de betreffende verplichtingen bij overdracht van de Onroerende Zaak </w:t>
            </w:r>
            <w:proofErr w:type="spellStart"/>
            <w:r w:rsidRPr="0068717E">
              <w:rPr>
                <w:i/>
              </w:rPr>
              <w:t>casu</w:t>
            </w:r>
            <w:proofErr w:type="spellEnd"/>
            <w:r w:rsidRPr="0068717E">
              <w:rPr>
                <w:i/>
              </w:rPr>
              <w:t xml:space="preserve"> quo de Ondererfpacht als kettingbeding op te leggen aan de opvolgende Grondeigenaar(s) </w:t>
            </w:r>
            <w:proofErr w:type="spellStart"/>
            <w:r w:rsidRPr="0068717E">
              <w:rPr>
                <w:i/>
              </w:rPr>
              <w:t>casu</w:t>
            </w:r>
            <w:proofErr w:type="spellEnd"/>
            <w:r w:rsidRPr="0068717E">
              <w:rPr>
                <w:i/>
              </w:rPr>
              <w:t xml:space="preserve"> quo Ondererfpachter(s) en deze te doen aanvaarden en voorts de daaruit voor de </w:t>
            </w:r>
            <w:r w:rsidRPr="0068717E">
              <w:rPr>
                <w:i/>
              </w:rPr>
              <w:lastRenderedPageBreak/>
              <w:t>andere Partijen (alsmede hun rechtsopvolgers) voortvloeiende rechten namens hen (alsmede hun rechtsopvolgers) aan te nemen, zulks op straffe van een direct opeisbare boete gelijk aan [</w:t>
            </w:r>
            <w:r w:rsidRPr="0068717E">
              <w:rPr>
                <w:i/>
              </w:rPr>
              <w:sym w:font="Wingdings" w:char="F06C"/>
            </w:r>
            <w:r w:rsidRPr="0068717E">
              <w:rPr>
                <w:i/>
              </w:rPr>
              <w:t xml:space="preserve"> keer de jaarlijkse canon / </w:t>
            </w:r>
            <w:r w:rsidRPr="0068717E">
              <w:rPr>
                <w:i/>
              </w:rPr>
              <w:sym w:font="Wingdings" w:char="F06C"/>
            </w:r>
            <w:r w:rsidRPr="0068717E">
              <w:rPr>
                <w:i/>
              </w:rPr>
              <w:t xml:space="preserve"> euro (EUR </w:t>
            </w:r>
            <w:r w:rsidRPr="0068717E">
              <w:rPr>
                <w:i/>
              </w:rPr>
              <w:sym w:font="Wingdings" w:char="F06C"/>
            </w:r>
            <w:r w:rsidRPr="0068717E">
              <w:rPr>
                <w:i/>
              </w:rPr>
              <w:t>)], onverminderd het recht om additionele schadevergoeding te vorderen in het geval de daadwerkelijk geleden schade hoger is.</w:t>
            </w:r>
          </w:p>
          <w:p w:rsidR="0097366E" w:rsidRPr="0068717E" w:rsidRDefault="0097366E" w:rsidP="0097366E">
            <w:pPr>
              <w:pStyle w:val="LLDeedHeading"/>
              <w:tabs>
                <w:tab w:val="clear" w:pos="567"/>
              </w:tabs>
              <w:ind w:left="1134"/>
              <w:rPr>
                <w:i/>
              </w:rPr>
            </w:pPr>
          </w:p>
          <w:p w:rsidR="0097366E" w:rsidRPr="0068717E" w:rsidRDefault="0097366E" w:rsidP="0055739E">
            <w:pPr>
              <w:pStyle w:val="LLDeedHeading2"/>
              <w:ind w:left="1134"/>
              <w:rPr>
                <w:rFonts w:asciiTheme="minorHAnsi" w:hAnsiTheme="minorHAnsi" w:cstheme="minorHAnsi"/>
                <w:i/>
                <w:szCs w:val="20"/>
              </w:rPr>
            </w:pPr>
            <w:r w:rsidRPr="0068717E">
              <w:rPr>
                <w:rFonts w:asciiTheme="minorHAnsi" w:hAnsiTheme="minorHAnsi" w:cstheme="minorHAnsi"/>
                <w:i/>
                <w:szCs w:val="20"/>
              </w:rPr>
              <w:t>[</w:t>
            </w:r>
            <w:r w:rsidRPr="0068717E">
              <w:rPr>
                <w:i/>
              </w:rPr>
              <w:sym w:font="Wingdings" w:char="F06C"/>
            </w:r>
            <w:r w:rsidRPr="0068717E">
              <w:rPr>
                <w:i/>
              </w:rPr>
              <w:t xml:space="preserve"> boete in te vullen aan de hand van de commerciële afspraak.</w:t>
            </w:r>
            <w:r w:rsidRPr="0068717E">
              <w:rPr>
                <w:rFonts w:asciiTheme="minorHAnsi" w:hAnsiTheme="minorHAnsi" w:cstheme="minorHAnsi"/>
                <w:i/>
                <w:szCs w:val="20"/>
              </w:rPr>
              <w:t>]</w:t>
            </w:r>
          </w:p>
          <w:p w:rsidR="0097366E" w:rsidRPr="0068717E" w:rsidRDefault="0097366E" w:rsidP="0097366E">
            <w:pPr>
              <w:pStyle w:val="LLDeedHeading2"/>
              <w:ind w:left="567"/>
              <w:rPr>
                <w:rFonts w:asciiTheme="minorHAnsi" w:hAnsiTheme="minorHAnsi" w:cstheme="minorHAnsi"/>
                <w:i/>
                <w:szCs w:val="20"/>
              </w:rPr>
            </w:pPr>
          </w:p>
          <w:p w:rsidR="0097366E" w:rsidRDefault="0097366E" w:rsidP="0055739E">
            <w:pPr>
              <w:pStyle w:val="LLDeedHeading2"/>
              <w:ind w:left="1134"/>
              <w:rPr>
                <w:rFonts w:asciiTheme="minorHAnsi" w:hAnsiTheme="minorHAnsi" w:cstheme="minorHAnsi"/>
                <w:i/>
                <w:szCs w:val="20"/>
              </w:rPr>
            </w:pPr>
            <w:r w:rsidRPr="0068717E">
              <w:rPr>
                <w:rFonts w:asciiTheme="minorHAnsi" w:hAnsiTheme="minorHAnsi" w:cstheme="minorHAnsi"/>
                <w:i/>
                <w:szCs w:val="20"/>
              </w:rPr>
              <w:t xml:space="preserve">In verband met dit kettingbeding zijn </w:t>
            </w:r>
            <w:r w:rsidRPr="0068717E">
              <w:rPr>
                <w:i/>
              </w:rPr>
              <w:t xml:space="preserve">Grondeigenaar en Ondererfpachter (alsmede hun rechtsopvolgers) </w:t>
            </w:r>
            <w:r w:rsidRPr="0068717E">
              <w:rPr>
                <w:rFonts w:asciiTheme="minorHAnsi" w:hAnsiTheme="minorHAnsi" w:cstheme="minorHAnsi"/>
                <w:i/>
                <w:szCs w:val="20"/>
              </w:rPr>
              <w:t xml:space="preserve">jegens elkaar verplicht om de bepalingen die in </w:t>
            </w:r>
            <w:r w:rsidRPr="0068717E">
              <w:rPr>
                <w:rFonts w:cs="Arial"/>
                <w:i/>
                <w:color w:val="000000"/>
              </w:rPr>
              <w:t xml:space="preserve">artikel </w:t>
            </w:r>
            <w:r w:rsidRPr="0068717E">
              <w:rPr>
                <w:rFonts w:cs="Arial"/>
                <w:i/>
                <w:color w:val="000000"/>
              </w:rPr>
              <w:fldChar w:fldCharType="begin"/>
            </w:r>
            <w:r w:rsidRPr="0068717E">
              <w:rPr>
                <w:rFonts w:cs="Arial"/>
                <w:i/>
                <w:color w:val="000000"/>
              </w:rPr>
              <w:instrText xml:space="preserve"> REF _Ref2178993 \r \h </w:instrText>
            </w:r>
            <w:r w:rsidR="0068717E">
              <w:rPr>
                <w:rFonts w:cs="Arial"/>
                <w:i/>
                <w:color w:val="000000"/>
              </w:rPr>
              <w:instrText xml:space="preserve"> \* MERGEFORMAT </w:instrText>
            </w:r>
            <w:r w:rsidRPr="0068717E">
              <w:rPr>
                <w:rFonts w:cs="Arial"/>
                <w:i/>
                <w:color w:val="000000"/>
              </w:rPr>
            </w:r>
            <w:r w:rsidRPr="0068717E">
              <w:rPr>
                <w:rFonts w:cs="Arial"/>
                <w:i/>
                <w:color w:val="000000"/>
              </w:rPr>
              <w:fldChar w:fldCharType="separate"/>
            </w:r>
            <w:r w:rsidR="0068717E">
              <w:rPr>
                <w:rFonts w:cs="Arial"/>
                <w:i/>
                <w:color w:val="000000"/>
              </w:rPr>
              <w:t>23.2</w:t>
            </w:r>
            <w:r w:rsidRPr="0068717E">
              <w:rPr>
                <w:rFonts w:cs="Arial"/>
                <w:i/>
                <w:color w:val="000000"/>
              </w:rPr>
              <w:fldChar w:fldCharType="end"/>
            </w:r>
            <w:r w:rsidRPr="0068717E">
              <w:rPr>
                <w:rFonts w:cs="Arial"/>
                <w:i/>
                <w:color w:val="000000"/>
              </w:rPr>
              <w:t xml:space="preserve"> en artikel </w:t>
            </w:r>
            <w:r w:rsidR="00AB1E70">
              <w:rPr>
                <w:rFonts w:cs="Arial"/>
                <w:i/>
                <w:color w:val="000000"/>
              </w:rPr>
              <w:fldChar w:fldCharType="begin"/>
            </w:r>
            <w:r w:rsidR="00AB1E70">
              <w:rPr>
                <w:rFonts w:cs="Arial"/>
                <w:i/>
                <w:color w:val="000000"/>
              </w:rPr>
              <w:instrText xml:space="preserve"> REF _Ref22125726 \r \h </w:instrText>
            </w:r>
            <w:r w:rsidR="00AB1E70">
              <w:rPr>
                <w:rFonts w:cs="Arial"/>
                <w:i/>
                <w:color w:val="000000"/>
              </w:rPr>
            </w:r>
            <w:r w:rsidR="00AB1E70">
              <w:rPr>
                <w:rFonts w:cs="Arial"/>
                <w:i/>
                <w:color w:val="000000"/>
              </w:rPr>
              <w:fldChar w:fldCharType="separate"/>
            </w:r>
            <w:r w:rsidR="00AB1E70">
              <w:rPr>
                <w:rFonts w:cs="Arial"/>
                <w:i/>
                <w:color w:val="000000"/>
              </w:rPr>
              <w:t>24</w:t>
            </w:r>
            <w:r w:rsidR="00AB1E70">
              <w:rPr>
                <w:rFonts w:cs="Arial"/>
                <w:i/>
                <w:color w:val="000000"/>
              </w:rPr>
              <w:fldChar w:fldCharType="end"/>
            </w:r>
            <w:r w:rsidRPr="0068717E">
              <w:rPr>
                <w:rFonts w:cs="Arial"/>
                <w:i/>
                <w:color w:val="000000"/>
              </w:rPr>
              <w:t xml:space="preserve"> zijn opgenomen </w:t>
            </w:r>
            <w:r w:rsidRPr="0068717E">
              <w:rPr>
                <w:rFonts w:asciiTheme="minorHAnsi" w:hAnsiTheme="minorHAnsi" w:cstheme="minorHAnsi"/>
                <w:i/>
                <w:szCs w:val="20"/>
              </w:rPr>
              <w:t>in iedere akte van overdracht letterlijk aan te halen.]</w:t>
            </w:r>
          </w:p>
          <w:p w:rsidR="0055739E" w:rsidRPr="0055739E" w:rsidRDefault="0055739E" w:rsidP="0055739E">
            <w:pPr>
              <w:pStyle w:val="LLDeedHeading2"/>
              <w:ind w:left="1134"/>
              <w:rPr>
                <w:rFonts w:asciiTheme="minorHAnsi" w:hAnsiTheme="minorHAnsi" w:cstheme="minorHAnsi"/>
                <w:i/>
                <w:szCs w:val="20"/>
              </w:rPr>
            </w:pPr>
          </w:p>
        </w:tc>
        <w:tc>
          <w:tcPr>
            <w:tcW w:w="6717" w:type="dxa"/>
          </w:tcPr>
          <w:p w:rsidR="00A93CD7" w:rsidRDefault="00E41831" w:rsidP="00E41831">
            <w:pPr>
              <w:spacing w:after="240" w:line="280" w:lineRule="atLeast"/>
              <w:rPr>
                <w:rFonts w:cs="Arial"/>
                <w:sz w:val="18"/>
                <w:szCs w:val="18"/>
                <w:lang w:val="nl-NL"/>
              </w:rPr>
            </w:pPr>
            <w:r>
              <w:rPr>
                <w:rFonts w:cs="Arial"/>
                <w:sz w:val="18"/>
                <w:szCs w:val="18"/>
                <w:lang w:val="nl-NL"/>
              </w:rPr>
              <w:lastRenderedPageBreak/>
              <w:t>Een essentieel onderdeel</w:t>
            </w:r>
            <w:r w:rsidR="0097366E">
              <w:rPr>
                <w:rFonts w:cs="Arial"/>
                <w:sz w:val="18"/>
                <w:szCs w:val="18"/>
                <w:lang w:val="nl-NL"/>
              </w:rPr>
              <w:t xml:space="preserve"> </w:t>
            </w:r>
            <w:r>
              <w:rPr>
                <w:rFonts w:cs="Arial"/>
                <w:sz w:val="18"/>
                <w:szCs w:val="18"/>
                <w:lang w:val="nl-NL"/>
              </w:rPr>
              <w:t>van dit model is</w:t>
            </w:r>
            <w:r w:rsidR="0097366E">
              <w:rPr>
                <w:rFonts w:cs="Arial"/>
                <w:sz w:val="18"/>
                <w:szCs w:val="18"/>
                <w:lang w:val="nl-NL"/>
              </w:rPr>
              <w:t xml:space="preserve"> Hoofdstuk F</w:t>
            </w:r>
            <w:r>
              <w:rPr>
                <w:rFonts w:cs="Arial"/>
                <w:sz w:val="18"/>
                <w:szCs w:val="18"/>
                <w:lang w:val="nl-NL"/>
              </w:rPr>
              <w:t xml:space="preserve">. Hierin is </w:t>
            </w:r>
            <w:r w:rsidR="0097366E">
              <w:rPr>
                <w:rFonts w:cs="Arial"/>
                <w:sz w:val="18"/>
                <w:szCs w:val="18"/>
                <w:lang w:val="nl-NL"/>
              </w:rPr>
              <w:t>de m</w:t>
            </w:r>
            <w:r w:rsidR="00AB1E70">
              <w:rPr>
                <w:rFonts w:cs="Arial"/>
                <w:sz w:val="18"/>
                <w:szCs w:val="18"/>
                <w:lang w:val="nl-NL"/>
              </w:rPr>
              <w:t>edewerking van de G</w:t>
            </w:r>
            <w:r>
              <w:rPr>
                <w:rFonts w:cs="Arial"/>
                <w:sz w:val="18"/>
                <w:szCs w:val="18"/>
                <w:lang w:val="nl-NL"/>
              </w:rPr>
              <w:t xml:space="preserve">rondeigenaar opgenomen. Vanuit financieringsperspectief is de medewerking in de zin van artikel 5:93 lid 2 Burgerlijk Wetboek een harde voorwaarde voor gebruik van dit model. </w:t>
            </w:r>
            <w:r w:rsidR="00A93CD7">
              <w:rPr>
                <w:rFonts w:cs="Arial"/>
                <w:sz w:val="18"/>
                <w:szCs w:val="18"/>
                <w:lang w:val="nl-NL"/>
              </w:rPr>
              <w:t>De</w:t>
            </w:r>
            <w:r w:rsidR="00AB1E70">
              <w:rPr>
                <w:rFonts w:cs="Arial"/>
                <w:sz w:val="18"/>
                <w:szCs w:val="18"/>
                <w:lang w:val="nl-NL"/>
              </w:rPr>
              <w:t>ze medewerking houdt in dat de G</w:t>
            </w:r>
            <w:r w:rsidR="00A93CD7">
              <w:rPr>
                <w:rFonts w:cs="Arial"/>
                <w:sz w:val="18"/>
                <w:szCs w:val="18"/>
                <w:lang w:val="nl-NL"/>
              </w:rPr>
              <w:t>rondeigenaar verklaart de Ondererfpacht gestand te zullen doen, ook indien de Erfpacht tussentijds zou komen te eindigen.</w:t>
            </w:r>
          </w:p>
          <w:p w:rsidR="00E41831" w:rsidRDefault="00E41831" w:rsidP="00E41831">
            <w:pPr>
              <w:spacing w:after="240" w:line="280" w:lineRule="atLeast"/>
              <w:rPr>
                <w:rFonts w:cs="Arial"/>
                <w:sz w:val="18"/>
                <w:szCs w:val="18"/>
                <w:lang w:val="nl-NL"/>
              </w:rPr>
            </w:pPr>
            <w:r>
              <w:rPr>
                <w:rFonts w:cs="Arial"/>
                <w:sz w:val="18"/>
                <w:szCs w:val="18"/>
                <w:lang w:val="nl-NL"/>
              </w:rPr>
              <w:t>Indien de</w:t>
            </w:r>
            <w:r w:rsidR="00A93CD7">
              <w:rPr>
                <w:rFonts w:cs="Arial"/>
                <w:sz w:val="18"/>
                <w:szCs w:val="18"/>
                <w:lang w:val="nl-NL"/>
              </w:rPr>
              <w:t>ze medewerking niet verleend wor</w:t>
            </w:r>
            <w:r>
              <w:rPr>
                <w:rFonts w:cs="Arial"/>
                <w:sz w:val="18"/>
                <w:szCs w:val="18"/>
                <w:lang w:val="nl-NL"/>
              </w:rPr>
              <w:t>dt, dan is het per definitie een maatwerk vraag en dient rekening gehouden te worden dat het project niet op basis van dit model te financieren is.</w:t>
            </w:r>
          </w:p>
          <w:p w:rsidR="0097366E" w:rsidRDefault="00A93CD7" w:rsidP="00A4111D">
            <w:pPr>
              <w:spacing w:after="240" w:line="280" w:lineRule="atLeast"/>
              <w:rPr>
                <w:rFonts w:cs="Arial"/>
                <w:sz w:val="18"/>
                <w:szCs w:val="18"/>
                <w:lang w:val="nl-NL"/>
              </w:rPr>
            </w:pPr>
            <w:r>
              <w:rPr>
                <w:rFonts w:cs="Arial"/>
                <w:sz w:val="18"/>
                <w:szCs w:val="18"/>
                <w:lang w:val="nl-NL"/>
              </w:rPr>
              <w:t xml:space="preserve">Echter </w:t>
            </w:r>
            <w:r w:rsidR="00A4111D">
              <w:rPr>
                <w:rFonts w:cs="Arial"/>
                <w:sz w:val="18"/>
                <w:szCs w:val="18"/>
                <w:lang w:val="nl-NL"/>
              </w:rPr>
              <w:t>kan een</w:t>
            </w:r>
            <w:r>
              <w:rPr>
                <w:rFonts w:cs="Arial"/>
                <w:sz w:val="18"/>
                <w:szCs w:val="18"/>
                <w:lang w:val="nl-NL"/>
              </w:rPr>
              <w:t xml:space="preserve"> grondeigenaar niet in alle gevallen hieraan </w:t>
            </w:r>
            <w:r w:rsidR="00A4111D">
              <w:rPr>
                <w:rFonts w:cs="Arial"/>
                <w:sz w:val="18"/>
                <w:szCs w:val="18"/>
                <w:lang w:val="nl-NL"/>
              </w:rPr>
              <w:t>medewerki</w:t>
            </w:r>
            <w:r>
              <w:rPr>
                <w:rFonts w:cs="Arial"/>
                <w:sz w:val="18"/>
                <w:szCs w:val="18"/>
                <w:lang w:val="nl-NL"/>
              </w:rPr>
              <w:t>n</w:t>
            </w:r>
            <w:r w:rsidR="00A4111D">
              <w:rPr>
                <w:rFonts w:cs="Arial"/>
                <w:sz w:val="18"/>
                <w:szCs w:val="18"/>
                <w:lang w:val="nl-NL"/>
              </w:rPr>
              <w:t>g verlenen</w:t>
            </w:r>
            <w:r>
              <w:rPr>
                <w:rFonts w:cs="Arial"/>
                <w:sz w:val="18"/>
                <w:szCs w:val="18"/>
                <w:lang w:val="nl-NL"/>
              </w:rPr>
              <w:t xml:space="preserve">, of </w:t>
            </w:r>
            <w:r w:rsidR="00A4111D">
              <w:rPr>
                <w:rFonts w:cs="Arial"/>
                <w:sz w:val="18"/>
                <w:szCs w:val="18"/>
                <w:lang w:val="nl-NL"/>
              </w:rPr>
              <w:t>aan medewerking nadere voorwaarden stellen</w:t>
            </w:r>
            <w:r w:rsidR="0068717E">
              <w:rPr>
                <w:rFonts w:cs="Arial"/>
                <w:sz w:val="18"/>
                <w:szCs w:val="18"/>
                <w:lang w:val="nl-NL"/>
              </w:rPr>
              <w:t>.</w:t>
            </w:r>
            <w:r>
              <w:rPr>
                <w:rFonts w:cs="Arial"/>
                <w:sz w:val="18"/>
                <w:szCs w:val="18"/>
                <w:lang w:val="nl-NL"/>
              </w:rPr>
              <w:t xml:space="preserve"> Dat is afhankelijk van de specifieke omstandigheden van het geval, zoals de inhoud van de erfpachtbepalingen, al dien niet afgekochte canon, de staat</w:t>
            </w:r>
            <w:r w:rsidR="00A4111D">
              <w:rPr>
                <w:rFonts w:cs="Arial"/>
                <w:sz w:val="18"/>
                <w:szCs w:val="18"/>
                <w:lang w:val="nl-NL"/>
              </w:rPr>
              <w:t xml:space="preserve"> van het gebouw, de locatie. Dit</w:t>
            </w:r>
            <w:r w:rsidR="0068717E">
              <w:rPr>
                <w:rFonts w:cs="Arial"/>
                <w:sz w:val="18"/>
                <w:szCs w:val="18"/>
                <w:lang w:val="nl-NL"/>
              </w:rPr>
              <w:t xml:space="preserve"> dient</w:t>
            </w:r>
            <w:r w:rsidR="00A4111D">
              <w:rPr>
                <w:rFonts w:cs="Arial"/>
                <w:sz w:val="18"/>
                <w:szCs w:val="18"/>
                <w:lang w:val="nl-NL"/>
              </w:rPr>
              <w:t xml:space="preserve"> derhalve</w:t>
            </w:r>
            <w:r w:rsidR="0068717E">
              <w:rPr>
                <w:rFonts w:cs="Arial"/>
                <w:sz w:val="18"/>
                <w:szCs w:val="18"/>
                <w:lang w:val="nl-NL"/>
              </w:rPr>
              <w:t xml:space="preserve"> in het vroegst mogelijke stadium afgestemd te worden </w:t>
            </w:r>
            <w:r w:rsidR="0068717E">
              <w:rPr>
                <w:rFonts w:cs="Arial"/>
                <w:sz w:val="18"/>
                <w:szCs w:val="18"/>
                <w:lang w:val="nl-NL"/>
              </w:rPr>
              <w:lastRenderedPageBreak/>
              <w:t xml:space="preserve">met de </w:t>
            </w:r>
            <w:r w:rsidR="00A4111D">
              <w:rPr>
                <w:rFonts w:cs="Arial"/>
                <w:sz w:val="18"/>
                <w:szCs w:val="18"/>
                <w:lang w:val="nl-NL"/>
              </w:rPr>
              <w:t>grondeigenaar</w:t>
            </w:r>
            <w:r w:rsidR="0068717E">
              <w:rPr>
                <w:rFonts w:cs="Arial"/>
                <w:sz w:val="18"/>
                <w:szCs w:val="18"/>
                <w:lang w:val="nl-NL"/>
              </w:rPr>
              <w:t>.</w:t>
            </w:r>
          </w:p>
        </w:tc>
      </w:tr>
      <w:tr w:rsidR="00285AA4" w:rsidRPr="00290A48" w:rsidTr="00CC1D51">
        <w:trPr>
          <w:trHeight w:val="763"/>
        </w:trPr>
        <w:tc>
          <w:tcPr>
            <w:tcW w:w="6716" w:type="dxa"/>
          </w:tcPr>
          <w:p w:rsidR="00285AA4" w:rsidRPr="00680CC2" w:rsidRDefault="00285AA4" w:rsidP="00A4429E">
            <w:pPr>
              <w:pStyle w:val="LLDeedWhereas"/>
              <w:numPr>
                <w:ilvl w:val="0"/>
                <w:numId w:val="20"/>
              </w:numPr>
              <w:rPr>
                <w:b/>
                <w:i/>
                <w:sz w:val="18"/>
                <w:szCs w:val="18"/>
              </w:rPr>
            </w:pPr>
            <w:r w:rsidRPr="00A4429E">
              <w:rPr>
                <w:b/>
                <w:i/>
              </w:rPr>
              <w:lastRenderedPageBreak/>
              <w:t>FISCALE BEPALING</w:t>
            </w:r>
          </w:p>
        </w:tc>
        <w:tc>
          <w:tcPr>
            <w:tcW w:w="6717" w:type="dxa"/>
          </w:tcPr>
          <w:p w:rsidR="00285AA4" w:rsidRDefault="00BB3405" w:rsidP="00285AA4">
            <w:pPr>
              <w:tabs>
                <w:tab w:val="left" w:pos="2242"/>
              </w:tabs>
              <w:spacing w:after="240" w:line="280" w:lineRule="atLeast"/>
              <w:rPr>
                <w:rFonts w:cs="Arial"/>
                <w:sz w:val="18"/>
                <w:szCs w:val="18"/>
                <w:lang w:val="nl-NL"/>
              </w:rPr>
            </w:pPr>
            <w:r>
              <w:rPr>
                <w:rFonts w:cs="Arial"/>
                <w:sz w:val="18"/>
                <w:szCs w:val="18"/>
                <w:lang w:val="nl-NL"/>
              </w:rPr>
              <w:t>De fiscaliteit (overdrachtsbelasting en omzetbelasting) is ter advisering en beoordeling van de instrumenterend notaris. Ter zake wordt verwezen naar de toelichting op het basismodel. De onderhavige variant heeft me</w:t>
            </w:r>
            <w:r w:rsidR="0068717E">
              <w:rPr>
                <w:rFonts w:cs="Arial"/>
                <w:sz w:val="18"/>
                <w:szCs w:val="18"/>
                <w:lang w:val="nl-NL"/>
              </w:rPr>
              <w:t>t dezelfde onderwerpen te maken</w:t>
            </w:r>
            <w:r w:rsidR="007A2247">
              <w:rPr>
                <w:rFonts w:cs="Arial"/>
                <w:sz w:val="18"/>
                <w:szCs w:val="18"/>
                <w:lang w:val="nl-NL"/>
              </w:rPr>
              <w:t>.</w:t>
            </w:r>
            <w:r w:rsidR="003105FA">
              <w:rPr>
                <w:rFonts w:cs="Arial"/>
                <w:sz w:val="18"/>
                <w:szCs w:val="18"/>
                <w:lang w:val="nl-NL"/>
              </w:rPr>
              <w:t xml:space="preserve"> Een enkele optie is verwijderd die in de volgende versie van het basismodel ook verwijderd zal worden.</w:t>
            </w:r>
          </w:p>
          <w:p w:rsidR="007A2247" w:rsidRDefault="007A2247" w:rsidP="007A2247">
            <w:pPr>
              <w:tabs>
                <w:tab w:val="left" w:pos="2242"/>
              </w:tabs>
              <w:spacing w:after="240" w:line="280" w:lineRule="atLeast"/>
              <w:rPr>
                <w:rFonts w:cs="Arial"/>
                <w:sz w:val="18"/>
                <w:szCs w:val="18"/>
                <w:lang w:val="nl-NL"/>
              </w:rPr>
            </w:pPr>
            <w:r>
              <w:rPr>
                <w:rFonts w:cs="Arial"/>
                <w:sz w:val="18"/>
                <w:szCs w:val="18"/>
                <w:lang w:val="nl-NL"/>
              </w:rPr>
              <w:t xml:space="preserve">Zie ter informatie het opiniestuk van </w:t>
            </w:r>
            <w:r w:rsidRPr="007A2247">
              <w:rPr>
                <w:rFonts w:cs="Arial"/>
                <w:sz w:val="18"/>
                <w:szCs w:val="18"/>
                <w:lang w:val="nl-NL"/>
              </w:rPr>
              <w:t>prof.</w:t>
            </w:r>
            <w:r w:rsidR="00A4111D">
              <w:rPr>
                <w:rFonts w:cs="Arial"/>
                <w:sz w:val="18"/>
                <w:szCs w:val="18"/>
                <w:lang w:val="nl-NL"/>
              </w:rPr>
              <w:t xml:space="preserve"> </w:t>
            </w:r>
            <w:r w:rsidRPr="007A2247">
              <w:rPr>
                <w:rFonts w:cs="Arial"/>
                <w:sz w:val="18"/>
                <w:szCs w:val="18"/>
                <w:lang w:val="nl-NL"/>
              </w:rPr>
              <w:t xml:space="preserve">dr. T.M. Berkhout </w:t>
            </w:r>
            <w:r>
              <w:rPr>
                <w:rFonts w:cs="Arial"/>
                <w:sz w:val="18"/>
                <w:szCs w:val="18"/>
                <w:lang w:val="nl-NL"/>
              </w:rPr>
              <w:t xml:space="preserve">waarin hij ingaat op een aantal onderdelen van de fiscale behandeling van het basismodel: </w:t>
            </w:r>
            <w:r w:rsidRPr="007A2247">
              <w:rPr>
                <w:rFonts w:cs="Arial"/>
                <w:sz w:val="18"/>
                <w:szCs w:val="18"/>
                <w:lang w:val="nl-NL"/>
              </w:rPr>
              <w:t>https://www.ndfr.nl/NTFR/Details/NTFR2019-1119</w:t>
            </w:r>
            <w:r w:rsidR="0045245E">
              <w:rPr>
                <w:rFonts w:cs="Arial"/>
                <w:sz w:val="18"/>
                <w:szCs w:val="18"/>
                <w:lang w:val="nl-NL"/>
              </w:rPr>
              <w:t>.</w:t>
            </w:r>
          </w:p>
        </w:tc>
      </w:tr>
    </w:tbl>
    <w:p w:rsidR="00FC717A" w:rsidRPr="007512CE" w:rsidRDefault="00FC717A" w:rsidP="00E34E57">
      <w:pPr>
        <w:spacing w:after="240" w:line="280" w:lineRule="atLeast"/>
        <w:rPr>
          <w:rFonts w:cs="Arial"/>
          <w:sz w:val="18"/>
          <w:szCs w:val="18"/>
          <w:lang w:val="nl-NL"/>
        </w:rPr>
      </w:pPr>
    </w:p>
    <w:sectPr w:rsidR="00FC717A" w:rsidRPr="007512CE" w:rsidSect="00733AF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09" w:rsidRDefault="004F5609" w:rsidP="004F77CE">
      <w:pPr>
        <w:spacing w:after="0" w:line="240" w:lineRule="auto"/>
      </w:pPr>
      <w:r>
        <w:separator/>
      </w:r>
    </w:p>
  </w:endnote>
  <w:endnote w:type="continuationSeparator" w:id="0">
    <w:p w:rsidR="004F5609" w:rsidRDefault="004F5609" w:rsidP="004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48" w:rsidRDefault="00290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76514"/>
      <w:docPartObj>
        <w:docPartGallery w:val="Page Numbers (Bottom of Page)"/>
        <w:docPartUnique/>
      </w:docPartObj>
    </w:sdtPr>
    <w:sdtEndPr>
      <w:rPr>
        <w:noProof/>
      </w:rPr>
    </w:sdtEndPr>
    <w:sdtContent>
      <w:p w:rsidR="002747D6" w:rsidRDefault="002747D6">
        <w:pPr>
          <w:pStyle w:val="Footer"/>
          <w:jc w:val="right"/>
        </w:pPr>
        <w:r>
          <w:fldChar w:fldCharType="begin"/>
        </w:r>
        <w:r>
          <w:instrText xml:space="preserve"> PAGE   \* MERGEFORMAT </w:instrText>
        </w:r>
        <w:r>
          <w:fldChar w:fldCharType="separate"/>
        </w:r>
        <w:r w:rsidR="00D0177B">
          <w:rPr>
            <w:noProof/>
          </w:rPr>
          <w:t>1</w:t>
        </w:r>
        <w:r>
          <w:rPr>
            <w:noProof/>
          </w:rPr>
          <w:fldChar w:fldCharType="end"/>
        </w:r>
      </w:p>
    </w:sdtContent>
  </w:sdt>
  <w:p w:rsidR="002747D6" w:rsidRPr="00E8445A" w:rsidRDefault="008429EF" w:rsidP="004F77CE">
    <w:pPr>
      <w:pStyle w:val="Footer"/>
      <w:rPr>
        <w:b/>
        <w:sz w:val="16"/>
        <w:szCs w:val="16"/>
        <w:lang w:val="nl-NL"/>
      </w:rPr>
    </w:pPr>
    <w:r>
      <w:rPr>
        <w:b/>
        <w:sz w:val="16"/>
        <w:szCs w:val="16"/>
        <w:lang w:val="nl-NL"/>
      </w:rPr>
      <w:t>#30524120</w:t>
    </w:r>
    <w:r w:rsidR="00D0177B">
      <w:rPr>
        <w:b/>
        <w:sz w:val="16"/>
        <w:szCs w:val="16"/>
        <w:lang w:val="nl-NL"/>
      </w:rPr>
      <w:t>-v4</w:t>
    </w:r>
    <w:bookmarkStart w:id="6" w:name="_GoBack"/>
    <w:bookmarkEnd w:id="6"/>
  </w:p>
  <w:p w:rsidR="002747D6" w:rsidRPr="00E8445A" w:rsidRDefault="00D0177B" w:rsidP="00D0177B">
    <w:pPr>
      <w:pStyle w:val="Footer"/>
      <w:rPr>
        <w:b/>
        <w:sz w:val="16"/>
        <w:szCs w:val="16"/>
        <w:lang w:val="nl-NL"/>
      </w:rPr>
    </w:pPr>
    <w:r w:rsidRPr="00E8445A">
      <w:rPr>
        <w:b/>
        <w:sz w:val="16"/>
        <w:szCs w:val="16"/>
        <w:lang w:val="nl-NL"/>
      </w:rPr>
      <w:t xml:space="preserve">Uitsluitend bestemd voor </w:t>
    </w:r>
    <w:r>
      <w:rPr>
        <w:b/>
        <w:sz w:val="16"/>
        <w:szCs w:val="16"/>
        <w:lang w:val="nl-NL"/>
      </w:rPr>
      <w:t>informatie doeleinden. Hieraan kunnen geen rechten worden ontleend.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48" w:rsidRDefault="00290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09" w:rsidRDefault="004F5609" w:rsidP="004F77CE">
      <w:pPr>
        <w:spacing w:after="0" w:line="240" w:lineRule="auto"/>
      </w:pPr>
      <w:r>
        <w:separator/>
      </w:r>
    </w:p>
  </w:footnote>
  <w:footnote w:type="continuationSeparator" w:id="0">
    <w:p w:rsidR="004F5609" w:rsidRDefault="004F5609" w:rsidP="004F7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48" w:rsidRDefault="00290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D6" w:rsidRPr="00290A48" w:rsidRDefault="00290A48" w:rsidP="00290A48">
    <w:pPr>
      <w:pStyle w:val="Header"/>
      <w:rPr>
        <w:b/>
        <w:sz w:val="14"/>
        <w:lang w:val="nl-NL"/>
      </w:rPr>
    </w:pPr>
    <w:r w:rsidRPr="00714C9C">
      <w:rPr>
        <w:b/>
        <w:sz w:val="14"/>
        <w:lang w:val="nl-NL"/>
      </w:rPr>
      <w:t>NOOT: DOCUMENT DAT VAN TIJD TOT TIJD WIJZIGT.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48" w:rsidRDefault="00290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31"/>
    <w:multiLevelType w:val="multilevel"/>
    <w:tmpl w:val="ABF2E516"/>
    <w:name w:val="LL_DeedWhereAs"/>
    <w:lvl w:ilvl="0">
      <w:start w:val="2"/>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696664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C2E49B4"/>
    <w:multiLevelType w:val="hybridMultilevel"/>
    <w:tmpl w:val="9F5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02169"/>
    <w:multiLevelType w:val="hybridMultilevel"/>
    <w:tmpl w:val="97B811C6"/>
    <w:lvl w:ilvl="0" w:tplc="28BE49B6">
      <w:start w:val="1"/>
      <w:numFmt w:val="decimal"/>
      <w:lvlText w:val="%1."/>
      <w:lvlJc w:val="left"/>
      <w:pPr>
        <w:ind w:left="644"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9C03C81"/>
    <w:multiLevelType w:val="multilevel"/>
    <w:tmpl w:val="D95AF850"/>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3A743FDC"/>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63834A3"/>
    <w:multiLevelType w:val="multilevel"/>
    <w:tmpl w:val="80F0FEB4"/>
    <w:name w:val="opsommingOVK"/>
    <w:lvl w:ilvl="0">
      <w:start w:val="1"/>
      <w:numFmt w:val="decimal"/>
      <w:pStyle w:val="bkOpsomming1OVK"/>
      <w:lvlText w:val="%1"/>
      <w:lvlJc w:val="left"/>
      <w:pPr>
        <w:tabs>
          <w:tab w:val="num" w:pos="720"/>
        </w:tabs>
        <w:ind w:left="720" w:hanging="720"/>
      </w:pPr>
      <w:rPr>
        <w:rFonts w:ascii="Arial" w:hAnsi="Arial" w:cs="Times New Roman" w:hint="default"/>
        <w:b/>
        <w:i w:val="0"/>
        <w:sz w:val="20"/>
      </w:rPr>
    </w:lvl>
    <w:lvl w:ilvl="1">
      <w:start w:val="1"/>
      <w:numFmt w:val="decimal"/>
      <w:pStyle w:val="bkOpsomming2OVK"/>
      <w:lvlText w:val="%1.%2"/>
      <w:lvlJc w:val="left"/>
      <w:pPr>
        <w:tabs>
          <w:tab w:val="num" w:pos="720"/>
        </w:tabs>
        <w:ind w:left="720" w:hanging="720"/>
      </w:pPr>
    </w:lvl>
    <w:lvl w:ilvl="2">
      <w:start w:val="1"/>
      <w:numFmt w:val="lowerLetter"/>
      <w:pStyle w:val="bkOpsomming3OVK"/>
      <w:lvlText w:val="%3."/>
      <w:lvlJc w:val="left"/>
      <w:pPr>
        <w:tabs>
          <w:tab w:val="num" w:pos="1077"/>
        </w:tabs>
        <w:ind w:left="1080" w:hanging="360"/>
      </w:pPr>
    </w:lvl>
    <w:lvl w:ilvl="3">
      <w:start w:val="1"/>
      <w:numFmt w:val="lowerRoman"/>
      <w:pStyle w:val="bkOpsomming4OVK"/>
      <w:lvlText w:val="(%4)"/>
      <w:lvlJc w:val="left"/>
      <w:pPr>
        <w:tabs>
          <w:tab w:val="num" w:pos="1440"/>
        </w:tabs>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0327B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FAB37A2"/>
    <w:multiLevelType w:val="multilevel"/>
    <w:tmpl w:val="5554D962"/>
    <w:name w:val="LL_DeedHeadings"/>
    <w:lvl w:ilvl="0">
      <w:start w:val="23"/>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7967442B"/>
    <w:multiLevelType w:val="multilevel"/>
    <w:tmpl w:val="C70A4524"/>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18"/>
      </w:rPr>
    </w:lvl>
    <w:lvl w:ilvl="2">
      <w:start w:val="1"/>
      <w:numFmt w:val="decimal"/>
      <w:isLgl/>
      <w:lvlText w:val="%1.%2.%3"/>
      <w:lvlJc w:val="left"/>
      <w:pPr>
        <w:ind w:left="1080"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10">
    <w:nsid w:val="7CDA7F0E"/>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4"/>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5"/>
  </w:num>
  <w:num w:numId="14">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0"/>
  </w:num>
  <w:num w:numId="19">
    <w:abstractNumId w:val="0"/>
  </w:num>
  <w:num w:numId="2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F4"/>
    <w:rsid w:val="000221D1"/>
    <w:rsid w:val="00057338"/>
    <w:rsid w:val="00071137"/>
    <w:rsid w:val="00075D83"/>
    <w:rsid w:val="00081102"/>
    <w:rsid w:val="00081921"/>
    <w:rsid w:val="00082233"/>
    <w:rsid w:val="000871EB"/>
    <w:rsid w:val="0009304C"/>
    <w:rsid w:val="000B1571"/>
    <w:rsid w:val="00123279"/>
    <w:rsid w:val="001746CE"/>
    <w:rsid w:val="00187F13"/>
    <w:rsid w:val="001D6E9B"/>
    <w:rsid w:val="001F3AF7"/>
    <w:rsid w:val="002140EF"/>
    <w:rsid w:val="00222B47"/>
    <w:rsid w:val="0022448C"/>
    <w:rsid w:val="00226651"/>
    <w:rsid w:val="00246C82"/>
    <w:rsid w:val="00251DF5"/>
    <w:rsid w:val="0026268C"/>
    <w:rsid w:val="00262EEC"/>
    <w:rsid w:val="0027367A"/>
    <w:rsid w:val="002747D6"/>
    <w:rsid w:val="0027527A"/>
    <w:rsid w:val="00285AA4"/>
    <w:rsid w:val="00290A48"/>
    <w:rsid w:val="0029454C"/>
    <w:rsid w:val="002B34B8"/>
    <w:rsid w:val="002B6D15"/>
    <w:rsid w:val="002B7E36"/>
    <w:rsid w:val="002C3FCD"/>
    <w:rsid w:val="002F2C03"/>
    <w:rsid w:val="003105FA"/>
    <w:rsid w:val="003303BD"/>
    <w:rsid w:val="0033557B"/>
    <w:rsid w:val="00337FB5"/>
    <w:rsid w:val="003406EB"/>
    <w:rsid w:val="00351A50"/>
    <w:rsid w:val="003569DC"/>
    <w:rsid w:val="00367BFA"/>
    <w:rsid w:val="00390919"/>
    <w:rsid w:val="0039358C"/>
    <w:rsid w:val="003A33CC"/>
    <w:rsid w:val="003B0DB2"/>
    <w:rsid w:val="003D0911"/>
    <w:rsid w:val="003D4657"/>
    <w:rsid w:val="004008CB"/>
    <w:rsid w:val="0040110D"/>
    <w:rsid w:val="0043744F"/>
    <w:rsid w:val="00443642"/>
    <w:rsid w:val="0044430A"/>
    <w:rsid w:val="00445F8B"/>
    <w:rsid w:val="00447A87"/>
    <w:rsid w:val="0045245E"/>
    <w:rsid w:val="00464944"/>
    <w:rsid w:val="00484469"/>
    <w:rsid w:val="004B3D61"/>
    <w:rsid w:val="004C1529"/>
    <w:rsid w:val="004C7BD2"/>
    <w:rsid w:val="004F5609"/>
    <w:rsid w:val="004F77CE"/>
    <w:rsid w:val="0055739E"/>
    <w:rsid w:val="0056278A"/>
    <w:rsid w:val="00564642"/>
    <w:rsid w:val="005A797D"/>
    <w:rsid w:val="005B5BD7"/>
    <w:rsid w:val="005C1279"/>
    <w:rsid w:val="005E0DF2"/>
    <w:rsid w:val="005F4D4C"/>
    <w:rsid w:val="00623D4A"/>
    <w:rsid w:val="00624C93"/>
    <w:rsid w:val="006317BF"/>
    <w:rsid w:val="00631F70"/>
    <w:rsid w:val="00636084"/>
    <w:rsid w:val="00651FFA"/>
    <w:rsid w:val="006605CD"/>
    <w:rsid w:val="00680CC2"/>
    <w:rsid w:val="00686C0C"/>
    <w:rsid w:val="0068717E"/>
    <w:rsid w:val="006A03D6"/>
    <w:rsid w:val="006A75E1"/>
    <w:rsid w:val="006C098F"/>
    <w:rsid w:val="006E7792"/>
    <w:rsid w:val="006E77D7"/>
    <w:rsid w:val="007025FF"/>
    <w:rsid w:val="0071528C"/>
    <w:rsid w:val="00716037"/>
    <w:rsid w:val="0071792E"/>
    <w:rsid w:val="0072358E"/>
    <w:rsid w:val="00733AF4"/>
    <w:rsid w:val="007512CE"/>
    <w:rsid w:val="00774971"/>
    <w:rsid w:val="007925D5"/>
    <w:rsid w:val="00795C41"/>
    <w:rsid w:val="007961DA"/>
    <w:rsid w:val="007A2247"/>
    <w:rsid w:val="007C3C5F"/>
    <w:rsid w:val="007D3126"/>
    <w:rsid w:val="007D3C89"/>
    <w:rsid w:val="007F01C9"/>
    <w:rsid w:val="00805AAD"/>
    <w:rsid w:val="008113F7"/>
    <w:rsid w:val="008233FD"/>
    <w:rsid w:val="00826C7D"/>
    <w:rsid w:val="0084299C"/>
    <w:rsid w:val="008429EF"/>
    <w:rsid w:val="00843A60"/>
    <w:rsid w:val="00852718"/>
    <w:rsid w:val="00854140"/>
    <w:rsid w:val="008623CC"/>
    <w:rsid w:val="00876042"/>
    <w:rsid w:val="008771B6"/>
    <w:rsid w:val="0088184C"/>
    <w:rsid w:val="008A4CCF"/>
    <w:rsid w:val="008B57C6"/>
    <w:rsid w:val="008F17D7"/>
    <w:rsid w:val="008F6F42"/>
    <w:rsid w:val="0090541E"/>
    <w:rsid w:val="00924A15"/>
    <w:rsid w:val="00925308"/>
    <w:rsid w:val="00941E04"/>
    <w:rsid w:val="0094422A"/>
    <w:rsid w:val="0097366E"/>
    <w:rsid w:val="0099024E"/>
    <w:rsid w:val="009A6857"/>
    <w:rsid w:val="009B578E"/>
    <w:rsid w:val="009C3DE1"/>
    <w:rsid w:val="009D3D11"/>
    <w:rsid w:val="009D498C"/>
    <w:rsid w:val="009D528B"/>
    <w:rsid w:val="009F6259"/>
    <w:rsid w:val="00A166BF"/>
    <w:rsid w:val="00A262D0"/>
    <w:rsid w:val="00A4111D"/>
    <w:rsid w:val="00A421FA"/>
    <w:rsid w:val="00A4429E"/>
    <w:rsid w:val="00A443E2"/>
    <w:rsid w:val="00A46E9D"/>
    <w:rsid w:val="00A7202A"/>
    <w:rsid w:val="00A8188A"/>
    <w:rsid w:val="00A93CD7"/>
    <w:rsid w:val="00AA2F92"/>
    <w:rsid w:val="00AB1E70"/>
    <w:rsid w:val="00AB6645"/>
    <w:rsid w:val="00AD03EA"/>
    <w:rsid w:val="00AD3AB6"/>
    <w:rsid w:val="00B0441C"/>
    <w:rsid w:val="00B0539C"/>
    <w:rsid w:val="00B65707"/>
    <w:rsid w:val="00BB3405"/>
    <w:rsid w:val="00BC26B4"/>
    <w:rsid w:val="00BD2BEB"/>
    <w:rsid w:val="00C14EE1"/>
    <w:rsid w:val="00C300E3"/>
    <w:rsid w:val="00C37A5A"/>
    <w:rsid w:val="00CC1D51"/>
    <w:rsid w:val="00CC54C6"/>
    <w:rsid w:val="00CD663A"/>
    <w:rsid w:val="00CE0A96"/>
    <w:rsid w:val="00D0177B"/>
    <w:rsid w:val="00DA5E4C"/>
    <w:rsid w:val="00DB3BBB"/>
    <w:rsid w:val="00DB4DDE"/>
    <w:rsid w:val="00DD70BD"/>
    <w:rsid w:val="00DE5E7E"/>
    <w:rsid w:val="00E14C60"/>
    <w:rsid w:val="00E274F9"/>
    <w:rsid w:val="00E34E57"/>
    <w:rsid w:val="00E41831"/>
    <w:rsid w:val="00E51259"/>
    <w:rsid w:val="00E55A4A"/>
    <w:rsid w:val="00E8445A"/>
    <w:rsid w:val="00EA3D37"/>
    <w:rsid w:val="00EF6EC3"/>
    <w:rsid w:val="00EF77A0"/>
    <w:rsid w:val="00F13133"/>
    <w:rsid w:val="00F31361"/>
    <w:rsid w:val="00F400EE"/>
    <w:rsid w:val="00F42F3B"/>
    <w:rsid w:val="00F432EB"/>
    <w:rsid w:val="00F43FA1"/>
    <w:rsid w:val="00F56C84"/>
    <w:rsid w:val="00F9588F"/>
    <w:rsid w:val="00FA6323"/>
    <w:rsid w:val="00FC717A"/>
    <w:rsid w:val="00FD1D90"/>
    <w:rsid w:val="00FE1FD4"/>
    <w:rsid w:val="00FE5748"/>
    <w:rsid w:val="00FE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40110D"/>
    <w:pPr>
      <w:keepNext/>
      <w:keepLines/>
      <w:spacing w:before="200" w:after="0"/>
      <w:outlineLvl w:val="4"/>
    </w:pPr>
    <w:rPr>
      <w:rFonts w:asciiTheme="majorHAnsi" w:eastAsiaTheme="majorEastAsia" w:hAnsiTheme="majorHAnsi" w:cstheme="majorBidi"/>
      <w:color w:val="031A3C" w:themeColor="accent1" w:themeShade="7F"/>
    </w:rPr>
  </w:style>
  <w:style w:type="paragraph" w:styleId="Heading6">
    <w:name w:val="heading 6"/>
    <w:basedOn w:val="Heading5"/>
    <w:next w:val="Normal"/>
    <w:link w:val="Heading6Char"/>
    <w:qFormat/>
    <w:rsid w:val="0040110D"/>
    <w:pPr>
      <w:keepLines w:val="0"/>
      <w:suppressAutoHyphens/>
      <w:spacing w:before="240" w:after="60" w:line="280" w:lineRule="atLeast"/>
      <w:outlineLvl w:val="5"/>
    </w:pPr>
    <w:rPr>
      <w:rFonts w:ascii="Cambria" w:eastAsiaTheme="minorHAnsi" w:hAnsi="Cambria" w:cstheme="minorBidi"/>
      <w:b/>
      <w:bCs/>
      <w:i/>
      <w:color w:val="auto"/>
      <w:sz w:val="26"/>
      <w:szCs w:val="26"/>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E"/>
  </w:style>
  <w:style w:type="paragraph" w:styleId="Footer">
    <w:name w:val="footer"/>
    <w:basedOn w:val="Normal"/>
    <w:link w:val="FooterChar"/>
    <w:uiPriority w:val="99"/>
    <w:unhideWhenUsed/>
    <w:rsid w:val="004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E"/>
  </w:style>
  <w:style w:type="paragraph" w:styleId="ListParagraph">
    <w:name w:val="List Paragraph"/>
    <w:basedOn w:val="Normal"/>
    <w:uiPriority w:val="34"/>
    <w:qFormat/>
    <w:rsid w:val="00A7202A"/>
    <w:pPr>
      <w:ind w:left="720"/>
      <w:contextualSpacing/>
    </w:pPr>
  </w:style>
  <w:style w:type="paragraph" w:customStyle="1" w:styleId="bkOpsomming1OVK">
    <w:name w:val="bkOpsomming1OVK"/>
    <w:basedOn w:val="Normal"/>
    <w:next w:val="Normal"/>
    <w:qFormat/>
    <w:rsid w:val="003406EB"/>
    <w:pPr>
      <w:numPr>
        <w:numId w:val="2"/>
      </w:numPr>
      <w:spacing w:after="260" w:line="260" w:lineRule="atLeast"/>
      <w:jc w:val="both"/>
      <w:outlineLvl w:val="0"/>
    </w:pPr>
    <w:rPr>
      <w:rFonts w:eastAsiaTheme="minorHAnsi" w:cstheme="minorBidi"/>
      <w:b/>
      <w:lang w:val="nl-NL"/>
    </w:rPr>
  </w:style>
  <w:style w:type="paragraph" w:customStyle="1" w:styleId="bkOpsomming2OVK">
    <w:name w:val="bkOpsomming2OVK"/>
    <w:basedOn w:val="Normal"/>
    <w:qFormat/>
    <w:rsid w:val="003406EB"/>
    <w:pPr>
      <w:numPr>
        <w:ilvl w:val="1"/>
        <w:numId w:val="2"/>
      </w:numPr>
      <w:spacing w:after="260" w:line="260" w:lineRule="atLeast"/>
      <w:jc w:val="both"/>
      <w:outlineLvl w:val="1"/>
    </w:pPr>
    <w:rPr>
      <w:rFonts w:eastAsiaTheme="minorHAnsi" w:cstheme="minorBidi"/>
      <w:lang w:val="nl-NL"/>
    </w:rPr>
  </w:style>
  <w:style w:type="paragraph" w:customStyle="1" w:styleId="bkOpsomming3OVK">
    <w:name w:val="bkOpsomming3OVK"/>
    <w:basedOn w:val="Normal"/>
    <w:next w:val="Normal"/>
    <w:qFormat/>
    <w:rsid w:val="003406EB"/>
    <w:pPr>
      <w:numPr>
        <w:ilvl w:val="2"/>
        <w:numId w:val="2"/>
      </w:numPr>
      <w:spacing w:after="260" w:line="260" w:lineRule="atLeast"/>
      <w:jc w:val="both"/>
      <w:outlineLvl w:val="2"/>
    </w:pPr>
    <w:rPr>
      <w:rFonts w:eastAsiaTheme="minorHAnsi" w:cstheme="minorBidi"/>
      <w:lang w:val="nl-NL"/>
    </w:rPr>
  </w:style>
  <w:style w:type="paragraph" w:customStyle="1" w:styleId="bkOpsomming4OVK">
    <w:name w:val="bkOpsomming4OVK"/>
    <w:basedOn w:val="Normal"/>
    <w:next w:val="Normal"/>
    <w:qFormat/>
    <w:rsid w:val="003406EB"/>
    <w:pPr>
      <w:numPr>
        <w:ilvl w:val="3"/>
        <w:numId w:val="2"/>
      </w:numPr>
      <w:spacing w:after="260" w:line="260" w:lineRule="atLeast"/>
      <w:jc w:val="both"/>
      <w:outlineLvl w:val="3"/>
    </w:pPr>
    <w:rPr>
      <w:rFonts w:eastAsiaTheme="minorHAnsi" w:cstheme="minorBidi"/>
      <w:lang w:val="nl-NL"/>
    </w:rPr>
  </w:style>
  <w:style w:type="paragraph" w:customStyle="1" w:styleId="LLDeedHeading2">
    <w:name w:val="LL_DeedHeading2"/>
    <w:basedOn w:val="Normal"/>
    <w:qFormat/>
    <w:rsid w:val="00443642"/>
    <w:pPr>
      <w:widowControl w:val="0"/>
      <w:suppressAutoHyphens/>
      <w:spacing w:after="0" w:line="280" w:lineRule="atLeast"/>
    </w:pPr>
    <w:rPr>
      <w:rFonts w:eastAsiaTheme="minorHAnsi" w:cstheme="minorBidi"/>
      <w:lang w:val="nl-NL"/>
    </w:rPr>
  </w:style>
  <w:style w:type="paragraph" w:customStyle="1" w:styleId="LLDeedHeading">
    <w:name w:val="LL_DeedHeading"/>
    <w:basedOn w:val="Normal"/>
    <w:qFormat/>
    <w:rsid w:val="0094422A"/>
    <w:pPr>
      <w:widowControl w:val="0"/>
      <w:tabs>
        <w:tab w:val="num" w:pos="567"/>
      </w:tabs>
      <w:suppressAutoHyphens/>
      <w:spacing w:after="0" w:line="280" w:lineRule="atLeast"/>
      <w:ind w:left="567" w:hanging="567"/>
    </w:pPr>
    <w:rPr>
      <w:rFonts w:eastAsiaTheme="minorHAnsi" w:cstheme="minorBidi"/>
      <w:b/>
      <w:lang w:val="nl-NL"/>
    </w:rPr>
  </w:style>
  <w:style w:type="paragraph" w:customStyle="1" w:styleId="LLDeedHeading3">
    <w:name w:val="LL_DeedHeading3"/>
    <w:basedOn w:val="Normal"/>
    <w:qFormat/>
    <w:rsid w:val="0094422A"/>
    <w:pPr>
      <w:widowControl w:val="0"/>
      <w:tabs>
        <w:tab w:val="num" w:pos="567"/>
      </w:tabs>
      <w:suppressAutoHyphens/>
      <w:spacing w:after="0" w:line="280" w:lineRule="atLeast"/>
      <w:ind w:left="567" w:hanging="567"/>
    </w:pPr>
    <w:rPr>
      <w:rFonts w:eastAsiaTheme="minorHAnsi" w:cstheme="minorBidi"/>
      <w:lang w:val="nl-NL"/>
    </w:rPr>
  </w:style>
  <w:style w:type="character" w:customStyle="1" w:styleId="Heading6Char">
    <w:name w:val="Heading 6 Char"/>
    <w:basedOn w:val="DefaultParagraphFont"/>
    <w:link w:val="Heading6"/>
    <w:rsid w:val="0040110D"/>
    <w:rPr>
      <w:rFonts w:ascii="Cambria" w:eastAsiaTheme="minorHAnsi" w:hAnsi="Cambria" w:cstheme="minorBidi"/>
      <w:b/>
      <w:bCs/>
      <w:i/>
      <w:sz w:val="26"/>
      <w:szCs w:val="26"/>
      <w:lang w:val="nl-NL" w:eastAsia="x-none"/>
    </w:rPr>
  </w:style>
  <w:style w:type="paragraph" w:customStyle="1" w:styleId="LLDeedNormalIndent">
    <w:name w:val="LL_DeedNormalIndent"/>
    <w:basedOn w:val="Normal"/>
    <w:qFormat/>
    <w:rsid w:val="0040110D"/>
    <w:pPr>
      <w:widowControl w:val="0"/>
      <w:tabs>
        <w:tab w:val="left" w:pos="567"/>
      </w:tabs>
      <w:suppressAutoHyphens/>
      <w:spacing w:after="0" w:line="280" w:lineRule="atLeast"/>
      <w:ind w:left="567"/>
    </w:pPr>
    <w:rPr>
      <w:rFonts w:eastAsiaTheme="minorHAnsi" w:cstheme="minorBidi"/>
      <w:lang w:val="nl-NL"/>
    </w:rPr>
  </w:style>
  <w:style w:type="character" w:customStyle="1" w:styleId="Heading5Char">
    <w:name w:val="Heading 5 Char"/>
    <w:basedOn w:val="DefaultParagraphFont"/>
    <w:link w:val="Heading5"/>
    <w:uiPriority w:val="9"/>
    <w:semiHidden/>
    <w:rsid w:val="0040110D"/>
    <w:rPr>
      <w:rFonts w:asciiTheme="majorHAnsi" w:eastAsiaTheme="majorEastAsia" w:hAnsiTheme="majorHAnsi" w:cstheme="majorBidi"/>
      <w:color w:val="031A3C" w:themeColor="accent1" w:themeShade="7F"/>
    </w:rPr>
  </w:style>
  <w:style w:type="paragraph" w:customStyle="1" w:styleId="LLDeedNormal">
    <w:name w:val="LL_DeedNormal"/>
    <w:basedOn w:val="Normal"/>
    <w:qFormat/>
    <w:rsid w:val="00EF6EC3"/>
    <w:pPr>
      <w:widowControl w:val="0"/>
      <w:suppressAutoHyphens/>
      <w:spacing w:after="0" w:line="280" w:lineRule="atLeast"/>
    </w:pPr>
    <w:rPr>
      <w:rFonts w:eastAsiaTheme="minorHAnsi" w:cstheme="minorBidi"/>
      <w:lang w:val="nl-NL"/>
    </w:rPr>
  </w:style>
  <w:style w:type="paragraph" w:customStyle="1" w:styleId="LLDeedNumIndenta">
    <w:name w:val="LL_DeedNumIndent(a)"/>
    <w:basedOn w:val="LLDeedNormal"/>
    <w:qFormat/>
    <w:rsid w:val="00EF6EC3"/>
    <w:pPr>
      <w:numPr>
        <w:numId w:val="6"/>
      </w:numPr>
    </w:pPr>
  </w:style>
  <w:style w:type="paragraph" w:customStyle="1" w:styleId="LLDeedWhereas">
    <w:name w:val="LL_DeedWhereas"/>
    <w:basedOn w:val="LLDeedNormal"/>
    <w:qFormat/>
    <w:rsid w:val="00EF6EC3"/>
    <w:pPr>
      <w:numPr>
        <w:numId w:val="7"/>
      </w:numPr>
    </w:pPr>
  </w:style>
  <w:style w:type="paragraph" w:styleId="BalloonText">
    <w:name w:val="Balloon Text"/>
    <w:basedOn w:val="Normal"/>
    <w:link w:val="BalloonTextChar"/>
    <w:uiPriority w:val="99"/>
    <w:semiHidden/>
    <w:unhideWhenUsed/>
    <w:rsid w:val="00B0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40110D"/>
    <w:pPr>
      <w:keepNext/>
      <w:keepLines/>
      <w:spacing w:before="200" w:after="0"/>
      <w:outlineLvl w:val="4"/>
    </w:pPr>
    <w:rPr>
      <w:rFonts w:asciiTheme="majorHAnsi" w:eastAsiaTheme="majorEastAsia" w:hAnsiTheme="majorHAnsi" w:cstheme="majorBidi"/>
      <w:color w:val="031A3C" w:themeColor="accent1" w:themeShade="7F"/>
    </w:rPr>
  </w:style>
  <w:style w:type="paragraph" w:styleId="Heading6">
    <w:name w:val="heading 6"/>
    <w:basedOn w:val="Heading5"/>
    <w:next w:val="Normal"/>
    <w:link w:val="Heading6Char"/>
    <w:qFormat/>
    <w:rsid w:val="0040110D"/>
    <w:pPr>
      <w:keepLines w:val="0"/>
      <w:suppressAutoHyphens/>
      <w:spacing w:before="240" w:after="60" w:line="280" w:lineRule="atLeast"/>
      <w:outlineLvl w:val="5"/>
    </w:pPr>
    <w:rPr>
      <w:rFonts w:ascii="Cambria" w:eastAsiaTheme="minorHAnsi" w:hAnsi="Cambria" w:cstheme="minorBidi"/>
      <w:b/>
      <w:bCs/>
      <w:i/>
      <w:color w:val="auto"/>
      <w:sz w:val="26"/>
      <w:szCs w:val="26"/>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E"/>
  </w:style>
  <w:style w:type="paragraph" w:styleId="Footer">
    <w:name w:val="footer"/>
    <w:basedOn w:val="Normal"/>
    <w:link w:val="FooterChar"/>
    <w:uiPriority w:val="99"/>
    <w:unhideWhenUsed/>
    <w:rsid w:val="004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E"/>
  </w:style>
  <w:style w:type="paragraph" w:styleId="ListParagraph">
    <w:name w:val="List Paragraph"/>
    <w:basedOn w:val="Normal"/>
    <w:uiPriority w:val="34"/>
    <w:qFormat/>
    <w:rsid w:val="00A7202A"/>
    <w:pPr>
      <w:ind w:left="720"/>
      <w:contextualSpacing/>
    </w:pPr>
  </w:style>
  <w:style w:type="paragraph" w:customStyle="1" w:styleId="bkOpsomming1OVK">
    <w:name w:val="bkOpsomming1OVK"/>
    <w:basedOn w:val="Normal"/>
    <w:next w:val="Normal"/>
    <w:qFormat/>
    <w:rsid w:val="003406EB"/>
    <w:pPr>
      <w:numPr>
        <w:numId w:val="2"/>
      </w:numPr>
      <w:spacing w:after="260" w:line="260" w:lineRule="atLeast"/>
      <w:jc w:val="both"/>
      <w:outlineLvl w:val="0"/>
    </w:pPr>
    <w:rPr>
      <w:rFonts w:eastAsiaTheme="minorHAnsi" w:cstheme="minorBidi"/>
      <w:b/>
      <w:lang w:val="nl-NL"/>
    </w:rPr>
  </w:style>
  <w:style w:type="paragraph" w:customStyle="1" w:styleId="bkOpsomming2OVK">
    <w:name w:val="bkOpsomming2OVK"/>
    <w:basedOn w:val="Normal"/>
    <w:qFormat/>
    <w:rsid w:val="003406EB"/>
    <w:pPr>
      <w:numPr>
        <w:ilvl w:val="1"/>
        <w:numId w:val="2"/>
      </w:numPr>
      <w:spacing w:after="260" w:line="260" w:lineRule="atLeast"/>
      <w:jc w:val="both"/>
      <w:outlineLvl w:val="1"/>
    </w:pPr>
    <w:rPr>
      <w:rFonts w:eastAsiaTheme="minorHAnsi" w:cstheme="minorBidi"/>
      <w:lang w:val="nl-NL"/>
    </w:rPr>
  </w:style>
  <w:style w:type="paragraph" w:customStyle="1" w:styleId="bkOpsomming3OVK">
    <w:name w:val="bkOpsomming3OVK"/>
    <w:basedOn w:val="Normal"/>
    <w:next w:val="Normal"/>
    <w:qFormat/>
    <w:rsid w:val="003406EB"/>
    <w:pPr>
      <w:numPr>
        <w:ilvl w:val="2"/>
        <w:numId w:val="2"/>
      </w:numPr>
      <w:spacing w:after="260" w:line="260" w:lineRule="atLeast"/>
      <w:jc w:val="both"/>
      <w:outlineLvl w:val="2"/>
    </w:pPr>
    <w:rPr>
      <w:rFonts w:eastAsiaTheme="minorHAnsi" w:cstheme="minorBidi"/>
      <w:lang w:val="nl-NL"/>
    </w:rPr>
  </w:style>
  <w:style w:type="paragraph" w:customStyle="1" w:styleId="bkOpsomming4OVK">
    <w:name w:val="bkOpsomming4OVK"/>
    <w:basedOn w:val="Normal"/>
    <w:next w:val="Normal"/>
    <w:qFormat/>
    <w:rsid w:val="003406EB"/>
    <w:pPr>
      <w:numPr>
        <w:ilvl w:val="3"/>
        <w:numId w:val="2"/>
      </w:numPr>
      <w:spacing w:after="260" w:line="260" w:lineRule="atLeast"/>
      <w:jc w:val="both"/>
      <w:outlineLvl w:val="3"/>
    </w:pPr>
    <w:rPr>
      <w:rFonts w:eastAsiaTheme="minorHAnsi" w:cstheme="minorBidi"/>
      <w:lang w:val="nl-NL"/>
    </w:rPr>
  </w:style>
  <w:style w:type="paragraph" w:customStyle="1" w:styleId="LLDeedHeading2">
    <w:name w:val="LL_DeedHeading2"/>
    <w:basedOn w:val="Normal"/>
    <w:qFormat/>
    <w:rsid w:val="00443642"/>
    <w:pPr>
      <w:widowControl w:val="0"/>
      <w:suppressAutoHyphens/>
      <w:spacing w:after="0" w:line="280" w:lineRule="atLeast"/>
    </w:pPr>
    <w:rPr>
      <w:rFonts w:eastAsiaTheme="minorHAnsi" w:cstheme="minorBidi"/>
      <w:lang w:val="nl-NL"/>
    </w:rPr>
  </w:style>
  <w:style w:type="paragraph" w:customStyle="1" w:styleId="LLDeedHeading">
    <w:name w:val="LL_DeedHeading"/>
    <w:basedOn w:val="Normal"/>
    <w:qFormat/>
    <w:rsid w:val="0094422A"/>
    <w:pPr>
      <w:widowControl w:val="0"/>
      <w:tabs>
        <w:tab w:val="num" w:pos="567"/>
      </w:tabs>
      <w:suppressAutoHyphens/>
      <w:spacing w:after="0" w:line="280" w:lineRule="atLeast"/>
      <w:ind w:left="567" w:hanging="567"/>
    </w:pPr>
    <w:rPr>
      <w:rFonts w:eastAsiaTheme="minorHAnsi" w:cstheme="minorBidi"/>
      <w:b/>
      <w:lang w:val="nl-NL"/>
    </w:rPr>
  </w:style>
  <w:style w:type="paragraph" w:customStyle="1" w:styleId="LLDeedHeading3">
    <w:name w:val="LL_DeedHeading3"/>
    <w:basedOn w:val="Normal"/>
    <w:qFormat/>
    <w:rsid w:val="0094422A"/>
    <w:pPr>
      <w:widowControl w:val="0"/>
      <w:tabs>
        <w:tab w:val="num" w:pos="567"/>
      </w:tabs>
      <w:suppressAutoHyphens/>
      <w:spacing w:after="0" w:line="280" w:lineRule="atLeast"/>
      <w:ind w:left="567" w:hanging="567"/>
    </w:pPr>
    <w:rPr>
      <w:rFonts w:eastAsiaTheme="minorHAnsi" w:cstheme="minorBidi"/>
      <w:lang w:val="nl-NL"/>
    </w:rPr>
  </w:style>
  <w:style w:type="character" w:customStyle="1" w:styleId="Heading6Char">
    <w:name w:val="Heading 6 Char"/>
    <w:basedOn w:val="DefaultParagraphFont"/>
    <w:link w:val="Heading6"/>
    <w:rsid w:val="0040110D"/>
    <w:rPr>
      <w:rFonts w:ascii="Cambria" w:eastAsiaTheme="minorHAnsi" w:hAnsi="Cambria" w:cstheme="minorBidi"/>
      <w:b/>
      <w:bCs/>
      <w:i/>
      <w:sz w:val="26"/>
      <w:szCs w:val="26"/>
      <w:lang w:val="nl-NL" w:eastAsia="x-none"/>
    </w:rPr>
  </w:style>
  <w:style w:type="paragraph" w:customStyle="1" w:styleId="LLDeedNormalIndent">
    <w:name w:val="LL_DeedNormalIndent"/>
    <w:basedOn w:val="Normal"/>
    <w:qFormat/>
    <w:rsid w:val="0040110D"/>
    <w:pPr>
      <w:widowControl w:val="0"/>
      <w:tabs>
        <w:tab w:val="left" w:pos="567"/>
      </w:tabs>
      <w:suppressAutoHyphens/>
      <w:spacing w:after="0" w:line="280" w:lineRule="atLeast"/>
      <w:ind w:left="567"/>
    </w:pPr>
    <w:rPr>
      <w:rFonts w:eastAsiaTheme="minorHAnsi" w:cstheme="minorBidi"/>
      <w:lang w:val="nl-NL"/>
    </w:rPr>
  </w:style>
  <w:style w:type="character" w:customStyle="1" w:styleId="Heading5Char">
    <w:name w:val="Heading 5 Char"/>
    <w:basedOn w:val="DefaultParagraphFont"/>
    <w:link w:val="Heading5"/>
    <w:uiPriority w:val="9"/>
    <w:semiHidden/>
    <w:rsid w:val="0040110D"/>
    <w:rPr>
      <w:rFonts w:asciiTheme="majorHAnsi" w:eastAsiaTheme="majorEastAsia" w:hAnsiTheme="majorHAnsi" w:cstheme="majorBidi"/>
      <w:color w:val="031A3C" w:themeColor="accent1" w:themeShade="7F"/>
    </w:rPr>
  </w:style>
  <w:style w:type="paragraph" w:customStyle="1" w:styleId="LLDeedNormal">
    <w:name w:val="LL_DeedNormal"/>
    <w:basedOn w:val="Normal"/>
    <w:qFormat/>
    <w:rsid w:val="00EF6EC3"/>
    <w:pPr>
      <w:widowControl w:val="0"/>
      <w:suppressAutoHyphens/>
      <w:spacing w:after="0" w:line="280" w:lineRule="atLeast"/>
    </w:pPr>
    <w:rPr>
      <w:rFonts w:eastAsiaTheme="minorHAnsi" w:cstheme="minorBidi"/>
      <w:lang w:val="nl-NL"/>
    </w:rPr>
  </w:style>
  <w:style w:type="paragraph" w:customStyle="1" w:styleId="LLDeedNumIndenta">
    <w:name w:val="LL_DeedNumIndent(a)"/>
    <w:basedOn w:val="LLDeedNormal"/>
    <w:qFormat/>
    <w:rsid w:val="00EF6EC3"/>
    <w:pPr>
      <w:numPr>
        <w:numId w:val="6"/>
      </w:numPr>
    </w:pPr>
  </w:style>
  <w:style w:type="paragraph" w:customStyle="1" w:styleId="LLDeedWhereas">
    <w:name w:val="LL_DeedWhereas"/>
    <w:basedOn w:val="LLDeedNormal"/>
    <w:qFormat/>
    <w:rsid w:val="00EF6EC3"/>
    <w:pPr>
      <w:numPr>
        <w:numId w:val="7"/>
      </w:numPr>
    </w:pPr>
  </w:style>
  <w:style w:type="paragraph" w:styleId="BalloonText">
    <w:name w:val="Balloon Text"/>
    <w:basedOn w:val="Normal"/>
    <w:link w:val="BalloonTextChar"/>
    <w:uiPriority w:val="99"/>
    <w:semiHidden/>
    <w:unhideWhenUsed/>
    <w:rsid w:val="00B0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799">
      <w:bodyDiv w:val="1"/>
      <w:marLeft w:val="0"/>
      <w:marRight w:val="0"/>
      <w:marTop w:val="0"/>
      <w:marBottom w:val="0"/>
      <w:divBdr>
        <w:top w:val="none" w:sz="0" w:space="0" w:color="auto"/>
        <w:left w:val="none" w:sz="0" w:space="0" w:color="auto"/>
        <w:bottom w:val="none" w:sz="0" w:space="0" w:color="auto"/>
        <w:right w:val="none" w:sz="0" w:space="0" w:color="auto"/>
      </w:divBdr>
    </w:div>
    <w:div w:id="110713025">
      <w:bodyDiv w:val="1"/>
      <w:marLeft w:val="0"/>
      <w:marRight w:val="0"/>
      <w:marTop w:val="0"/>
      <w:marBottom w:val="0"/>
      <w:divBdr>
        <w:top w:val="none" w:sz="0" w:space="0" w:color="auto"/>
        <w:left w:val="none" w:sz="0" w:space="0" w:color="auto"/>
        <w:bottom w:val="none" w:sz="0" w:space="0" w:color="auto"/>
        <w:right w:val="none" w:sz="0" w:space="0" w:color="auto"/>
      </w:divBdr>
    </w:div>
    <w:div w:id="133426138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75">
          <w:marLeft w:val="0"/>
          <w:marRight w:val="0"/>
          <w:marTop w:val="0"/>
          <w:marBottom w:val="0"/>
          <w:divBdr>
            <w:top w:val="none" w:sz="0" w:space="0" w:color="auto"/>
            <w:left w:val="none" w:sz="0" w:space="0" w:color="auto"/>
            <w:bottom w:val="none" w:sz="0" w:space="0" w:color="auto"/>
            <w:right w:val="none" w:sz="0" w:space="0" w:color="auto"/>
          </w:divBdr>
          <w:divsChild>
            <w:div w:id="1846942314">
              <w:marLeft w:val="-225"/>
              <w:marRight w:val="-225"/>
              <w:marTop w:val="0"/>
              <w:marBottom w:val="0"/>
              <w:divBdr>
                <w:top w:val="none" w:sz="0" w:space="0" w:color="auto"/>
                <w:left w:val="none" w:sz="0" w:space="0" w:color="auto"/>
                <w:bottom w:val="none" w:sz="0" w:space="0" w:color="auto"/>
                <w:right w:val="none" w:sz="0" w:space="0" w:color="auto"/>
              </w:divBdr>
              <w:divsChild>
                <w:div w:id="1656030404">
                  <w:marLeft w:val="0"/>
                  <w:marRight w:val="0"/>
                  <w:marTop w:val="0"/>
                  <w:marBottom w:val="0"/>
                  <w:divBdr>
                    <w:top w:val="none" w:sz="0" w:space="0" w:color="auto"/>
                    <w:left w:val="none" w:sz="0" w:space="0" w:color="auto"/>
                    <w:bottom w:val="none" w:sz="0" w:space="0" w:color="auto"/>
                    <w:right w:val="none" w:sz="0" w:space="0" w:color="auto"/>
                  </w:divBdr>
                  <w:divsChild>
                    <w:div w:id="713654193">
                      <w:marLeft w:val="0"/>
                      <w:marRight w:val="0"/>
                      <w:marTop w:val="0"/>
                      <w:marBottom w:val="0"/>
                      <w:divBdr>
                        <w:top w:val="none" w:sz="0" w:space="0" w:color="auto"/>
                        <w:left w:val="none" w:sz="0" w:space="0" w:color="auto"/>
                        <w:bottom w:val="none" w:sz="0" w:space="0" w:color="auto"/>
                        <w:right w:val="none" w:sz="0" w:space="0" w:color="auto"/>
                      </w:divBdr>
                      <w:divsChild>
                        <w:div w:id="959142906">
                          <w:marLeft w:val="0"/>
                          <w:marRight w:val="0"/>
                          <w:marTop w:val="0"/>
                          <w:marBottom w:val="0"/>
                          <w:divBdr>
                            <w:top w:val="none" w:sz="0" w:space="0" w:color="auto"/>
                            <w:left w:val="none" w:sz="0" w:space="0" w:color="auto"/>
                            <w:bottom w:val="none" w:sz="0" w:space="0" w:color="auto"/>
                            <w:right w:val="none" w:sz="0" w:space="0" w:color="auto"/>
                          </w:divBdr>
                          <w:divsChild>
                            <w:div w:id="1921062721">
                              <w:marLeft w:val="0"/>
                              <w:marRight w:val="0"/>
                              <w:marTop w:val="0"/>
                              <w:marBottom w:val="0"/>
                              <w:divBdr>
                                <w:top w:val="none" w:sz="0" w:space="0" w:color="auto"/>
                                <w:left w:val="none" w:sz="0" w:space="0" w:color="auto"/>
                                <w:bottom w:val="none" w:sz="0" w:space="0" w:color="auto"/>
                                <w:right w:val="none" w:sz="0" w:space="0" w:color="auto"/>
                              </w:divBdr>
                              <w:divsChild>
                                <w:div w:id="5492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71681">
      <w:bodyDiv w:val="1"/>
      <w:marLeft w:val="0"/>
      <w:marRight w:val="0"/>
      <w:marTop w:val="0"/>
      <w:marBottom w:val="0"/>
      <w:divBdr>
        <w:top w:val="none" w:sz="0" w:space="0" w:color="auto"/>
        <w:left w:val="none" w:sz="0" w:space="0" w:color="auto"/>
        <w:bottom w:val="none" w:sz="0" w:space="0" w:color="auto"/>
        <w:right w:val="none" w:sz="0" w:space="0" w:color="auto"/>
      </w:divBdr>
    </w:div>
    <w:div w:id="17759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heme3">
  <a:themeElements>
    <a:clrScheme name="Custom 1">
      <a:dk1>
        <a:srgbClr val="000000"/>
      </a:dk1>
      <a:lt1>
        <a:sysClr val="window" lastClr="FFFFFF"/>
      </a:lt1>
      <a:dk2>
        <a:srgbClr val="4D4D4F"/>
      </a:dk2>
      <a:lt2>
        <a:srgbClr val="06357A"/>
      </a:lt2>
      <a:accent1>
        <a:srgbClr val="06357A"/>
      </a:accent1>
      <a:accent2>
        <a:srgbClr val="00A2E0"/>
      </a:accent2>
      <a:accent3>
        <a:srgbClr val="80D1F0"/>
      </a:accent3>
      <a:accent4>
        <a:srgbClr val="7F7F7F"/>
      </a:accent4>
      <a:accent5>
        <a:srgbClr val="B6B6B6"/>
      </a:accent5>
      <a:accent6>
        <a:srgbClr val="D8D8D8"/>
      </a:accent6>
      <a:hlink>
        <a:srgbClr val="06357A"/>
      </a:hlink>
      <a:folHlink>
        <a:srgbClr val="5285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72000" tIns="72000" rIns="72000" bIns="72000" rtlCol="0" anchor="ctr"/>
      <a:lstStyle>
        <a:defPPr algn="ctr">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2000" dirty="0" err="1" smtClean="0">
            <a:solidFill>
              <a:schemeClr val="tx2"/>
            </a:solidFill>
          </a:defRPr>
        </a:defPPr>
      </a:lstStyle>
    </a:txDef>
  </a:objectDefaults>
  <a:extraClrSchemeLst/>
  <a:custClrLst>
    <a:custClr name="Green">
      <a:srgbClr val="00A18E"/>
    </a:custClr>
    <a:custClr name="Pink">
      <a:srgbClr val="ED037C"/>
    </a:custClr>
    <a:custClr name="Moss green">
      <a:srgbClr val="909B5B"/>
    </a:custClr>
    <a:custClr name="Purple">
      <a:srgbClr val="A45580"/>
    </a:custClr>
    <a:custClr name="Grey blue">
      <a:srgbClr val="52859C"/>
    </a:custClr>
    <a:custClr name="Red">
      <a:srgbClr val="EF4135"/>
    </a:custClr>
    <a:custClr name="Amber">
      <a:srgbClr val="AA6E28"/>
    </a:custClr>
    <a:custClr name="Dark red">
      <a:srgbClr val="911D45"/>
    </a:custClr>
    <a:custClr name="Yellow">
      <a:srgbClr val="EAC6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2020-01-31T11:15:00Z</dcterms:created>
  <dcterms:modified xsi:type="dcterms:W3CDTF">2020-01-31T11:15:00Z</dcterms:modified>
</cp:coreProperties>
</file>