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CE" w:rsidRDefault="007512CE"/>
    <w:tbl>
      <w:tblPr>
        <w:tblStyle w:val="TableGrid"/>
        <w:tblW w:w="13433" w:type="dxa"/>
        <w:tblLayout w:type="fixed"/>
        <w:tblLook w:val="04A0" w:firstRow="1" w:lastRow="0" w:firstColumn="1" w:lastColumn="0" w:noHBand="0" w:noVBand="1"/>
      </w:tblPr>
      <w:tblGrid>
        <w:gridCol w:w="6716"/>
        <w:gridCol w:w="6717"/>
      </w:tblGrid>
      <w:tr w:rsidR="007D3126" w:rsidRPr="00714C9C" w:rsidTr="007512CE">
        <w:trPr>
          <w:trHeight w:val="540"/>
        </w:trPr>
        <w:tc>
          <w:tcPr>
            <w:tcW w:w="13433" w:type="dxa"/>
            <w:gridSpan w:val="2"/>
            <w:shd w:val="clear" w:color="auto" w:fill="92D050"/>
            <w:noWrap/>
          </w:tcPr>
          <w:p w:rsidR="004C1529" w:rsidRDefault="004C1529" w:rsidP="007512CE">
            <w:pPr>
              <w:spacing w:line="280" w:lineRule="exact"/>
              <w:rPr>
                <w:b/>
                <w:i/>
                <w:color w:val="FFFFFF" w:themeColor="background1"/>
                <w:sz w:val="28"/>
                <w:szCs w:val="18"/>
                <w:lang w:val="nl-NL"/>
              </w:rPr>
            </w:pPr>
          </w:p>
          <w:p w:rsidR="00CE0A96" w:rsidRDefault="004C1529" w:rsidP="007512CE">
            <w:pPr>
              <w:spacing w:line="280" w:lineRule="exact"/>
              <w:rPr>
                <w:b/>
                <w:i/>
                <w:color w:val="FFFFFF" w:themeColor="background1"/>
                <w:sz w:val="28"/>
                <w:szCs w:val="18"/>
                <w:lang w:val="nl-NL"/>
              </w:rPr>
            </w:pPr>
            <w:r w:rsidRPr="004C1529">
              <w:rPr>
                <w:b/>
                <w:i/>
                <w:color w:val="FFFFFF" w:themeColor="background1"/>
                <w:sz w:val="28"/>
                <w:szCs w:val="18"/>
                <w:lang w:val="nl-NL"/>
              </w:rPr>
              <w:t>Toelichting Model Opstalrecht Zonnestroomsysteem (</w:t>
            </w:r>
            <w:proofErr w:type="spellStart"/>
            <w:r w:rsidRPr="004C1529">
              <w:rPr>
                <w:b/>
                <w:i/>
                <w:color w:val="FFFFFF" w:themeColor="background1"/>
                <w:sz w:val="28"/>
                <w:szCs w:val="18"/>
                <w:lang w:val="nl-NL"/>
              </w:rPr>
              <w:t>dakproject</w:t>
            </w:r>
            <w:proofErr w:type="spellEnd"/>
            <w:r w:rsidRPr="004C1529">
              <w:rPr>
                <w:b/>
                <w:i/>
                <w:color w:val="FFFFFF" w:themeColor="background1"/>
                <w:sz w:val="28"/>
                <w:szCs w:val="18"/>
                <w:lang w:val="nl-NL"/>
              </w:rPr>
              <w:t xml:space="preserve">, variant </w:t>
            </w:r>
            <w:proofErr w:type="spellStart"/>
            <w:r w:rsidRPr="004C1529">
              <w:rPr>
                <w:b/>
                <w:i/>
                <w:color w:val="FFFFFF" w:themeColor="background1"/>
                <w:sz w:val="28"/>
                <w:szCs w:val="18"/>
                <w:lang w:val="nl-NL"/>
              </w:rPr>
              <w:t>operational</w:t>
            </w:r>
            <w:proofErr w:type="spellEnd"/>
            <w:r w:rsidRPr="004C1529">
              <w:rPr>
                <w:b/>
                <w:i/>
                <w:color w:val="FFFFFF" w:themeColor="background1"/>
                <w:sz w:val="28"/>
                <w:szCs w:val="18"/>
                <w:lang w:val="nl-NL"/>
              </w:rPr>
              <w:t xml:space="preserve"> lease) versie 1.0 (</w:t>
            </w:r>
            <w:r w:rsidR="00714C9C">
              <w:rPr>
                <w:b/>
                <w:i/>
                <w:color w:val="FFFFFF" w:themeColor="background1"/>
                <w:sz w:val="28"/>
                <w:szCs w:val="18"/>
                <w:lang w:val="nl-NL"/>
              </w:rPr>
              <w:t>2020</w:t>
            </w:r>
            <w:r w:rsidRPr="004C1529">
              <w:rPr>
                <w:b/>
                <w:i/>
                <w:color w:val="FFFFFF" w:themeColor="background1"/>
                <w:sz w:val="28"/>
                <w:szCs w:val="18"/>
                <w:lang w:val="nl-NL"/>
              </w:rPr>
              <w:t>).</w:t>
            </w:r>
          </w:p>
          <w:p w:rsidR="004C1529" w:rsidRPr="004C1529" w:rsidRDefault="004C1529" w:rsidP="007512CE">
            <w:pPr>
              <w:spacing w:line="280" w:lineRule="exact"/>
              <w:rPr>
                <w:sz w:val="18"/>
                <w:szCs w:val="18"/>
                <w:lang w:val="nl-NL"/>
              </w:rPr>
            </w:pPr>
          </w:p>
        </w:tc>
      </w:tr>
      <w:tr w:rsidR="007512CE" w:rsidRPr="00714C9C" w:rsidTr="007512CE">
        <w:trPr>
          <w:trHeight w:val="540"/>
        </w:trPr>
        <w:tc>
          <w:tcPr>
            <w:tcW w:w="13433" w:type="dxa"/>
            <w:gridSpan w:val="2"/>
            <w:shd w:val="clear" w:color="auto" w:fill="FFFFFF" w:themeFill="background1"/>
            <w:noWrap/>
          </w:tcPr>
          <w:p w:rsidR="000221D1" w:rsidRPr="000221D1" w:rsidRDefault="000221D1" w:rsidP="00CE0A96">
            <w:pPr>
              <w:spacing w:line="280" w:lineRule="exact"/>
              <w:rPr>
                <w:b/>
                <w:sz w:val="18"/>
                <w:szCs w:val="18"/>
                <w:lang w:val="nl-NL"/>
              </w:rPr>
            </w:pPr>
            <w:r w:rsidRPr="000221D1">
              <w:rPr>
                <w:b/>
                <w:sz w:val="18"/>
                <w:szCs w:val="18"/>
                <w:lang w:val="nl-NL"/>
              </w:rPr>
              <w:t>Algemeen:</w:t>
            </w:r>
          </w:p>
          <w:p w:rsidR="00941E04" w:rsidRDefault="007512CE" w:rsidP="00CE0A96">
            <w:pPr>
              <w:spacing w:line="280" w:lineRule="exact"/>
              <w:rPr>
                <w:sz w:val="18"/>
                <w:szCs w:val="18"/>
                <w:lang w:val="nl-NL"/>
              </w:rPr>
            </w:pPr>
            <w:r w:rsidRPr="007512CE">
              <w:rPr>
                <w:sz w:val="18"/>
                <w:szCs w:val="18"/>
                <w:lang w:val="nl-NL"/>
              </w:rPr>
              <w:t xml:space="preserve">Het onderhavige document betreft een toelichting bij het </w:t>
            </w:r>
            <w:r w:rsidRPr="004C1529">
              <w:rPr>
                <w:sz w:val="18"/>
                <w:szCs w:val="18"/>
                <w:lang w:val="nl-NL"/>
              </w:rPr>
              <w:t>Model Opstalrecht Zonnestroomsysteem (</w:t>
            </w:r>
            <w:proofErr w:type="spellStart"/>
            <w:r w:rsidRPr="004C1529">
              <w:rPr>
                <w:sz w:val="18"/>
                <w:szCs w:val="18"/>
                <w:lang w:val="nl-NL"/>
              </w:rPr>
              <w:t>dakproject</w:t>
            </w:r>
            <w:proofErr w:type="spellEnd"/>
            <w:r w:rsidR="004C1529" w:rsidRPr="004C1529">
              <w:rPr>
                <w:sz w:val="18"/>
                <w:szCs w:val="18"/>
                <w:lang w:val="nl-NL"/>
              </w:rPr>
              <w:t xml:space="preserve">, </w:t>
            </w:r>
            <w:r w:rsidR="004C1529" w:rsidRPr="004C1529">
              <w:rPr>
                <w:b/>
                <w:sz w:val="18"/>
                <w:szCs w:val="18"/>
                <w:lang w:val="nl-NL"/>
              </w:rPr>
              <w:t xml:space="preserve">variant </w:t>
            </w:r>
            <w:proofErr w:type="spellStart"/>
            <w:r w:rsidR="004C1529" w:rsidRPr="004C1529">
              <w:rPr>
                <w:b/>
                <w:sz w:val="18"/>
                <w:szCs w:val="18"/>
                <w:lang w:val="nl-NL"/>
              </w:rPr>
              <w:t>operational</w:t>
            </w:r>
            <w:proofErr w:type="spellEnd"/>
            <w:r w:rsidR="004C1529" w:rsidRPr="004C1529">
              <w:rPr>
                <w:b/>
                <w:sz w:val="18"/>
                <w:szCs w:val="18"/>
                <w:lang w:val="nl-NL"/>
              </w:rPr>
              <w:t xml:space="preserve"> lease</w:t>
            </w:r>
            <w:r w:rsidRPr="004C1529">
              <w:rPr>
                <w:sz w:val="18"/>
                <w:szCs w:val="18"/>
                <w:lang w:val="nl-NL"/>
              </w:rPr>
              <w:t>) versie 1.0 (201</w:t>
            </w:r>
            <w:r w:rsidR="004C1529" w:rsidRPr="004C1529">
              <w:rPr>
                <w:sz w:val="18"/>
                <w:szCs w:val="18"/>
                <w:lang w:val="nl-NL"/>
              </w:rPr>
              <w:t>9</w:t>
            </w:r>
            <w:r w:rsidRPr="004C1529">
              <w:rPr>
                <w:sz w:val="18"/>
                <w:szCs w:val="18"/>
                <w:lang w:val="nl-NL"/>
              </w:rPr>
              <w:t xml:space="preserve">). </w:t>
            </w:r>
            <w:r w:rsidRPr="007512CE">
              <w:rPr>
                <w:sz w:val="18"/>
                <w:szCs w:val="18"/>
                <w:lang w:val="nl-NL"/>
              </w:rPr>
              <w:t xml:space="preserve">Het </w:t>
            </w:r>
            <w:r w:rsidR="004C1529">
              <w:rPr>
                <w:sz w:val="18"/>
                <w:szCs w:val="18"/>
                <w:lang w:val="nl-NL"/>
              </w:rPr>
              <w:t xml:space="preserve">betreft een variant op het </w:t>
            </w:r>
            <w:r w:rsidR="004C1529" w:rsidRPr="004C1529">
              <w:rPr>
                <w:sz w:val="18"/>
                <w:szCs w:val="18"/>
                <w:lang w:val="nl-NL"/>
              </w:rPr>
              <w:t>Model Opstalrecht</w:t>
            </w:r>
            <w:r w:rsidR="004C1529">
              <w:rPr>
                <w:sz w:val="18"/>
                <w:szCs w:val="18"/>
                <w:lang w:val="nl-NL"/>
              </w:rPr>
              <w:t xml:space="preserve"> Zonnestroomsysteem (</w:t>
            </w:r>
            <w:proofErr w:type="spellStart"/>
            <w:r w:rsidR="004C1529">
              <w:rPr>
                <w:sz w:val="18"/>
                <w:szCs w:val="18"/>
                <w:lang w:val="nl-NL"/>
              </w:rPr>
              <w:t>dakproject</w:t>
            </w:r>
            <w:proofErr w:type="spellEnd"/>
            <w:r w:rsidR="004C1529" w:rsidRPr="004C1529">
              <w:rPr>
                <w:sz w:val="18"/>
                <w:szCs w:val="18"/>
                <w:lang w:val="nl-NL"/>
              </w:rPr>
              <w:t>) versie 1.0 (2019)</w:t>
            </w:r>
            <w:r w:rsidR="003303BD">
              <w:rPr>
                <w:sz w:val="18"/>
                <w:szCs w:val="18"/>
                <w:lang w:val="nl-NL"/>
              </w:rPr>
              <w:t xml:space="preserve"> (ook wel: het </w:t>
            </w:r>
            <w:r w:rsidR="003303BD" w:rsidRPr="00285AA4">
              <w:rPr>
                <w:b/>
                <w:sz w:val="18"/>
                <w:szCs w:val="18"/>
                <w:lang w:val="nl-NL"/>
              </w:rPr>
              <w:t>basismodel</w:t>
            </w:r>
            <w:r w:rsidR="003303BD">
              <w:rPr>
                <w:sz w:val="18"/>
                <w:szCs w:val="18"/>
                <w:lang w:val="nl-NL"/>
              </w:rPr>
              <w:t>)</w:t>
            </w:r>
            <w:r w:rsidR="0084299C">
              <w:rPr>
                <w:sz w:val="18"/>
                <w:szCs w:val="18"/>
                <w:lang w:val="nl-NL"/>
              </w:rPr>
              <w:t>.</w:t>
            </w:r>
            <w:r w:rsidR="004C1529">
              <w:rPr>
                <w:sz w:val="18"/>
                <w:szCs w:val="18"/>
                <w:lang w:val="nl-NL"/>
              </w:rPr>
              <w:t xml:space="preserve"> Ter zake wordt verwezen naar de toelichting van </w:t>
            </w:r>
            <w:r w:rsidR="003303BD">
              <w:rPr>
                <w:sz w:val="18"/>
                <w:szCs w:val="18"/>
                <w:lang w:val="nl-NL"/>
              </w:rPr>
              <w:t>dat</w:t>
            </w:r>
            <w:r w:rsidR="004C1529">
              <w:rPr>
                <w:sz w:val="18"/>
                <w:szCs w:val="18"/>
                <w:lang w:val="nl-NL"/>
              </w:rPr>
              <w:t xml:space="preserve"> </w:t>
            </w:r>
            <w:r w:rsidR="003303BD">
              <w:rPr>
                <w:sz w:val="18"/>
                <w:szCs w:val="18"/>
                <w:lang w:val="nl-NL"/>
              </w:rPr>
              <w:t>basis</w:t>
            </w:r>
            <w:r w:rsidR="004C1529">
              <w:rPr>
                <w:sz w:val="18"/>
                <w:szCs w:val="18"/>
                <w:lang w:val="nl-NL"/>
              </w:rPr>
              <w:t xml:space="preserve">model. Alleen op de bepalingen die van </w:t>
            </w:r>
            <w:r w:rsidR="003303BD">
              <w:rPr>
                <w:sz w:val="18"/>
                <w:szCs w:val="18"/>
                <w:lang w:val="nl-NL"/>
              </w:rPr>
              <w:t>het basis</w:t>
            </w:r>
            <w:r w:rsidR="004C1529">
              <w:rPr>
                <w:sz w:val="18"/>
                <w:szCs w:val="18"/>
                <w:lang w:val="nl-NL"/>
              </w:rPr>
              <w:t xml:space="preserve">model afwijken wordt </w:t>
            </w:r>
            <w:r w:rsidR="003303BD">
              <w:rPr>
                <w:sz w:val="18"/>
                <w:szCs w:val="18"/>
                <w:lang w:val="nl-NL"/>
              </w:rPr>
              <w:t>hieronder</w:t>
            </w:r>
            <w:r w:rsidR="004C1529">
              <w:rPr>
                <w:sz w:val="18"/>
                <w:szCs w:val="18"/>
                <w:lang w:val="nl-NL"/>
              </w:rPr>
              <w:t xml:space="preserve"> nader ingegaan.</w:t>
            </w:r>
          </w:p>
          <w:p w:rsidR="006C098F" w:rsidRDefault="006C098F" w:rsidP="00941E04">
            <w:pPr>
              <w:spacing w:line="280" w:lineRule="exact"/>
              <w:rPr>
                <w:b/>
                <w:sz w:val="18"/>
                <w:szCs w:val="18"/>
                <w:lang w:val="nl-NL"/>
              </w:rPr>
            </w:pPr>
            <w:r>
              <w:rPr>
                <w:b/>
                <w:sz w:val="18"/>
                <w:szCs w:val="18"/>
                <w:lang w:val="nl-NL"/>
              </w:rPr>
              <w:t>Wanneer is dit model bruikbaar?</w:t>
            </w:r>
          </w:p>
          <w:p w:rsidR="006C098F" w:rsidRDefault="000618F4" w:rsidP="000618F4">
            <w:pPr>
              <w:spacing w:line="280" w:lineRule="exact"/>
              <w:rPr>
                <w:sz w:val="18"/>
                <w:szCs w:val="18"/>
                <w:lang w:val="nl-NL"/>
              </w:rPr>
            </w:pPr>
            <w:r>
              <w:rPr>
                <w:sz w:val="18"/>
                <w:szCs w:val="18"/>
                <w:lang w:val="nl-NL"/>
              </w:rPr>
              <w:t>Ten opzichte van het basismodel is het model bruikbaar in de situatie dat de exploitant</w:t>
            </w:r>
            <w:r w:rsidR="006C098F" w:rsidRPr="000618F4">
              <w:rPr>
                <w:sz w:val="18"/>
                <w:szCs w:val="18"/>
                <w:lang w:val="nl-NL"/>
              </w:rPr>
              <w:t xml:space="preserve"> het zonnestroomsysteem </w:t>
            </w:r>
            <w:r>
              <w:rPr>
                <w:sz w:val="18"/>
                <w:szCs w:val="18"/>
                <w:lang w:val="nl-NL"/>
              </w:rPr>
              <w:t>verhuurt</w:t>
            </w:r>
            <w:r w:rsidR="004C1529" w:rsidRPr="000618F4">
              <w:rPr>
                <w:sz w:val="18"/>
                <w:szCs w:val="18"/>
                <w:lang w:val="nl-NL"/>
              </w:rPr>
              <w:t xml:space="preserve"> op basis van zogenaamde </w:t>
            </w:r>
            <w:r w:rsidR="006C098F" w:rsidRPr="000618F4">
              <w:rPr>
                <w:i/>
                <w:sz w:val="18"/>
                <w:szCs w:val="18"/>
                <w:lang w:val="nl-NL"/>
              </w:rPr>
              <w:t>operationele lease</w:t>
            </w:r>
            <w:r w:rsidR="006C098F" w:rsidRPr="000618F4">
              <w:rPr>
                <w:sz w:val="18"/>
                <w:szCs w:val="18"/>
                <w:lang w:val="nl-NL"/>
              </w:rPr>
              <w:t>.</w:t>
            </w:r>
          </w:p>
          <w:p w:rsidR="00941E04" w:rsidRPr="00941E04" w:rsidRDefault="00941E04" w:rsidP="00941E04">
            <w:pPr>
              <w:spacing w:line="280" w:lineRule="exact"/>
              <w:rPr>
                <w:b/>
                <w:sz w:val="18"/>
                <w:szCs w:val="18"/>
                <w:lang w:val="nl-NL"/>
              </w:rPr>
            </w:pPr>
            <w:r w:rsidRPr="00941E04">
              <w:rPr>
                <w:b/>
                <w:sz w:val="18"/>
                <w:szCs w:val="18"/>
                <w:lang w:val="nl-NL"/>
              </w:rPr>
              <w:t xml:space="preserve">Waarom </w:t>
            </w:r>
            <w:r>
              <w:rPr>
                <w:b/>
                <w:sz w:val="18"/>
                <w:szCs w:val="18"/>
                <w:lang w:val="nl-NL"/>
              </w:rPr>
              <w:t xml:space="preserve">is dit model </w:t>
            </w:r>
            <w:r w:rsidRPr="00941E04">
              <w:rPr>
                <w:b/>
                <w:sz w:val="18"/>
                <w:szCs w:val="18"/>
                <w:lang w:val="nl-NL"/>
              </w:rPr>
              <w:t>opgesteld?</w:t>
            </w:r>
          </w:p>
          <w:p w:rsidR="00941E04" w:rsidRPr="00941E04" w:rsidRDefault="00941E04" w:rsidP="00941E04">
            <w:pPr>
              <w:spacing w:line="280" w:lineRule="exact"/>
              <w:rPr>
                <w:sz w:val="18"/>
                <w:szCs w:val="18"/>
                <w:lang w:val="nl-NL"/>
              </w:rPr>
            </w:pPr>
            <w:r w:rsidRPr="00941E04">
              <w:rPr>
                <w:sz w:val="18"/>
                <w:szCs w:val="18"/>
                <w:lang w:val="nl-NL"/>
              </w:rPr>
              <w:t xml:space="preserve">Aanleiding voor het opstellen van </w:t>
            </w:r>
            <w:r>
              <w:rPr>
                <w:sz w:val="18"/>
                <w:szCs w:val="18"/>
                <w:lang w:val="nl-NL"/>
              </w:rPr>
              <w:t>het</w:t>
            </w:r>
            <w:r w:rsidRPr="00941E04">
              <w:rPr>
                <w:sz w:val="18"/>
                <w:szCs w:val="18"/>
                <w:lang w:val="nl-NL"/>
              </w:rPr>
              <w:t xml:space="preserve"> model </w:t>
            </w:r>
            <w:r>
              <w:rPr>
                <w:sz w:val="18"/>
                <w:szCs w:val="18"/>
                <w:lang w:val="nl-NL"/>
              </w:rPr>
              <w:t>is de financierbaarheid van zonneprojecten op daken te</w:t>
            </w:r>
            <w:r w:rsidR="0084299C">
              <w:rPr>
                <w:sz w:val="18"/>
                <w:szCs w:val="18"/>
                <w:lang w:val="nl-NL"/>
              </w:rPr>
              <w:t xml:space="preserve"> vereenvoudigen en daarmee te</w:t>
            </w:r>
            <w:r>
              <w:rPr>
                <w:sz w:val="18"/>
                <w:szCs w:val="18"/>
                <w:lang w:val="nl-NL"/>
              </w:rPr>
              <w:t xml:space="preserve"> bevorderen</w:t>
            </w:r>
            <w:r w:rsidRPr="00941E04">
              <w:rPr>
                <w:sz w:val="18"/>
                <w:szCs w:val="18"/>
                <w:lang w:val="nl-NL"/>
              </w:rPr>
              <w:t xml:space="preserve">. </w:t>
            </w:r>
            <w:r w:rsidR="003303BD">
              <w:rPr>
                <w:sz w:val="18"/>
                <w:szCs w:val="18"/>
                <w:lang w:val="nl-NL"/>
              </w:rPr>
              <w:t xml:space="preserve">Er bleek behoefte te bestaan aan een model dat expliciet aansluit bij de situatie waarbij het zonnestroomsysteem aan de eigenaar of de huurder van het gebouw wordt verhuurd op basis van een </w:t>
            </w:r>
            <w:proofErr w:type="spellStart"/>
            <w:r w:rsidR="003303BD">
              <w:rPr>
                <w:sz w:val="18"/>
                <w:szCs w:val="18"/>
                <w:lang w:val="nl-NL"/>
              </w:rPr>
              <w:t>operational</w:t>
            </w:r>
            <w:proofErr w:type="spellEnd"/>
            <w:r w:rsidR="003303BD">
              <w:rPr>
                <w:sz w:val="18"/>
                <w:szCs w:val="18"/>
                <w:lang w:val="nl-NL"/>
              </w:rPr>
              <w:t xml:space="preserve"> lease. Het basismodel gaat ervan uit dat de opstaller gerechtigd blijft tot de opwekking van de elektriciteit en deze verkoopt aan een leverancier (via het net) of de huurder of eigenaar. Bij </w:t>
            </w:r>
            <w:proofErr w:type="spellStart"/>
            <w:r w:rsidR="003303BD">
              <w:rPr>
                <w:sz w:val="18"/>
                <w:szCs w:val="18"/>
                <w:lang w:val="nl-NL"/>
              </w:rPr>
              <w:t>operational</w:t>
            </w:r>
            <w:proofErr w:type="spellEnd"/>
            <w:r w:rsidR="003303BD">
              <w:rPr>
                <w:sz w:val="18"/>
                <w:szCs w:val="18"/>
                <w:lang w:val="nl-NL"/>
              </w:rPr>
              <w:t xml:space="preserve"> lease wordt de lessee gerechtigd tot de opwekking en kan deze het verbruiken of verkopen.</w:t>
            </w:r>
          </w:p>
          <w:p w:rsidR="00941E04" w:rsidRPr="00941E04" w:rsidRDefault="00941E04" w:rsidP="00941E04">
            <w:pPr>
              <w:spacing w:line="280" w:lineRule="exact"/>
              <w:rPr>
                <w:b/>
                <w:sz w:val="18"/>
                <w:szCs w:val="18"/>
                <w:lang w:val="nl-NL"/>
              </w:rPr>
            </w:pPr>
            <w:r>
              <w:rPr>
                <w:b/>
                <w:sz w:val="18"/>
                <w:szCs w:val="18"/>
                <w:lang w:val="nl-NL"/>
              </w:rPr>
              <w:t>W</w:t>
            </w:r>
            <w:r w:rsidRPr="00941E04">
              <w:rPr>
                <w:b/>
                <w:sz w:val="18"/>
                <w:szCs w:val="18"/>
                <w:lang w:val="nl-NL"/>
              </w:rPr>
              <w:t xml:space="preserve">anneer </w:t>
            </w:r>
            <w:r w:rsidR="0084299C">
              <w:rPr>
                <w:b/>
                <w:sz w:val="18"/>
                <w:szCs w:val="18"/>
                <w:lang w:val="nl-NL"/>
              </w:rPr>
              <w:t>en hoe dient</w:t>
            </w:r>
            <w:r w:rsidRPr="00941E04">
              <w:rPr>
                <w:b/>
                <w:sz w:val="18"/>
                <w:szCs w:val="18"/>
                <w:lang w:val="nl-NL"/>
              </w:rPr>
              <w:t xml:space="preserve"> u</w:t>
            </w:r>
            <w:r>
              <w:rPr>
                <w:b/>
                <w:sz w:val="18"/>
                <w:szCs w:val="18"/>
                <w:lang w:val="nl-NL"/>
              </w:rPr>
              <w:t xml:space="preserve"> het model </w:t>
            </w:r>
            <w:r w:rsidR="0084299C">
              <w:rPr>
                <w:b/>
                <w:sz w:val="18"/>
                <w:szCs w:val="18"/>
                <w:lang w:val="nl-NL"/>
              </w:rPr>
              <w:t xml:space="preserve">te </w:t>
            </w:r>
            <w:r w:rsidRPr="00941E04">
              <w:rPr>
                <w:b/>
                <w:sz w:val="18"/>
                <w:szCs w:val="18"/>
                <w:lang w:val="nl-NL"/>
              </w:rPr>
              <w:t>gebruiken?</w:t>
            </w:r>
          </w:p>
          <w:p w:rsidR="00941E04" w:rsidRPr="00941E04" w:rsidRDefault="00941E04" w:rsidP="00941E04">
            <w:pPr>
              <w:spacing w:line="280" w:lineRule="exact"/>
              <w:rPr>
                <w:sz w:val="18"/>
                <w:szCs w:val="18"/>
                <w:lang w:val="nl-NL"/>
              </w:rPr>
            </w:pPr>
            <w:r>
              <w:rPr>
                <w:sz w:val="18"/>
                <w:szCs w:val="18"/>
                <w:lang w:val="nl-NL"/>
              </w:rPr>
              <w:t>Het model dient gebruik te worden indien dat door de betrokken financiers wordt verlangd</w:t>
            </w:r>
            <w:r w:rsidRPr="00941E04">
              <w:rPr>
                <w:sz w:val="18"/>
                <w:szCs w:val="18"/>
                <w:lang w:val="nl-NL"/>
              </w:rPr>
              <w:t>.</w:t>
            </w:r>
            <w:r>
              <w:rPr>
                <w:sz w:val="18"/>
                <w:szCs w:val="18"/>
                <w:lang w:val="nl-NL"/>
              </w:rPr>
              <w:t xml:space="preserve"> Eventuele afwijkingen op het model dient u aan de betreffende financiers inzichtelijk te maken</w:t>
            </w:r>
            <w:r w:rsidR="0026268C">
              <w:rPr>
                <w:sz w:val="18"/>
                <w:szCs w:val="18"/>
                <w:lang w:val="nl-NL"/>
              </w:rPr>
              <w:t xml:space="preserve"> middels toezending van een </w:t>
            </w:r>
            <w:r w:rsidR="0084299C">
              <w:rPr>
                <w:sz w:val="18"/>
                <w:szCs w:val="18"/>
                <w:lang w:val="nl-NL"/>
              </w:rPr>
              <w:t>versie waaruit de gemaakte aanpassingen duidelijk blijken</w:t>
            </w:r>
            <w:r w:rsidR="0026268C">
              <w:rPr>
                <w:sz w:val="18"/>
                <w:szCs w:val="18"/>
                <w:lang w:val="nl-NL"/>
              </w:rPr>
              <w:t>.</w:t>
            </w:r>
            <w:r w:rsidR="0084299C">
              <w:rPr>
                <w:sz w:val="18"/>
                <w:szCs w:val="18"/>
                <w:lang w:val="nl-NL"/>
              </w:rPr>
              <w:t xml:space="preserve"> Indien tekstmodules worden gebruikt die in het model oranje gekleurd zijn, dient dat eveneens expliciet inzichtelijk gemaakt te worden. </w:t>
            </w:r>
            <w:r w:rsidR="003569DC">
              <w:rPr>
                <w:sz w:val="18"/>
                <w:szCs w:val="18"/>
                <w:lang w:val="nl-NL"/>
              </w:rPr>
              <w:t>Oranje</w:t>
            </w:r>
            <w:r w:rsidR="0084299C">
              <w:rPr>
                <w:sz w:val="18"/>
                <w:szCs w:val="18"/>
                <w:lang w:val="nl-NL"/>
              </w:rPr>
              <w:t xml:space="preserve"> modules </w:t>
            </w:r>
            <w:r w:rsidR="003569DC">
              <w:rPr>
                <w:sz w:val="18"/>
                <w:szCs w:val="18"/>
                <w:lang w:val="nl-NL"/>
              </w:rPr>
              <w:t xml:space="preserve">en afwijkingen van het model </w:t>
            </w:r>
            <w:r w:rsidR="0084299C">
              <w:rPr>
                <w:sz w:val="18"/>
                <w:szCs w:val="18"/>
                <w:lang w:val="nl-NL"/>
              </w:rPr>
              <w:t>kunnen</w:t>
            </w:r>
            <w:r w:rsidR="0084299C" w:rsidRPr="007512CE">
              <w:rPr>
                <w:sz w:val="18"/>
                <w:szCs w:val="18"/>
                <w:lang w:val="nl-NL"/>
              </w:rPr>
              <w:t xml:space="preserve"> alleen worden toegepast met expliciete goedkeuring va</w:t>
            </w:r>
            <w:r w:rsidR="003569DC">
              <w:rPr>
                <w:sz w:val="18"/>
                <w:szCs w:val="18"/>
                <w:lang w:val="nl-NL"/>
              </w:rPr>
              <w:t xml:space="preserve">n de </w:t>
            </w:r>
            <w:r w:rsidR="0084299C">
              <w:rPr>
                <w:sz w:val="18"/>
                <w:szCs w:val="18"/>
                <w:lang w:val="nl-NL"/>
              </w:rPr>
              <w:t>betrokken financiers</w:t>
            </w:r>
            <w:r w:rsidR="0084299C" w:rsidRPr="007512CE">
              <w:rPr>
                <w:sz w:val="18"/>
                <w:szCs w:val="18"/>
                <w:lang w:val="nl-NL"/>
              </w:rPr>
              <w:t>.</w:t>
            </w:r>
          </w:p>
          <w:p w:rsidR="00941E04" w:rsidRPr="00941E04" w:rsidRDefault="00941E04" w:rsidP="00941E04">
            <w:pPr>
              <w:spacing w:line="280" w:lineRule="exact"/>
              <w:rPr>
                <w:b/>
                <w:sz w:val="18"/>
                <w:szCs w:val="18"/>
                <w:lang w:val="nl-NL"/>
              </w:rPr>
            </w:pPr>
            <w:r w:rsidRPr="00941E04">
              <w:rPr>
                <w:b/>
                <w:sz w:val="18"/>
                <w:szCs w:val="18"/>
                <w:lang w:val="nl-NL"/>
              </w:rPr>
              <w:t>Heeft u nog vragen?</w:t>
            </w:r>
          </w:p>
          <w:p w:rsidR="00941E04" w:rsidRDefault="0084299C" w:rsidP="00941E04">
            <w:pPr>
              <w:spacing w:line="280" w:lineRule="exact"/>
              <w:rPr>
                <w:sz w:val="18"/>
                <w:szCs w:val="18"/>
                <w:lang w:val="nl-NL"/>
              </w:rPr>
            </w:pPr>
            <w:r>
              <w:rPr>
                <w:sz w:val="18"/>
                <w:szCs w:val="18"/>
                <w:lang w:val="nl-NL"/>
              </w:rPr>
              <w:t xml:space="preserve">Neem dan contact </w:t>
            </w:r>
            <w:r w:rsidR="00941E04" w:rsidRPr="00941E04">
              <w:rPr>
                <w:sz w:val="18"/>
                <w:szCs w:val="18"/>
                <w:lang w:val="nl-NL"/>
              </w:rPr>
              <w:t xml:space="preserve">op via het volgende e-mailadres: </w:t>
            </w:r>
            <w:r w:rsidR="004C1529">
              <w:rPr>
                <w:sz w:val="18"/>
                <w:szCs w:val="18"/>
                <w:lang w:val="nl-NL"/>
              </w:rPr>
              <w:t>info@nvb.nl</w:t>
            </w:r>
          </w:p>
          <w:p w:rsidR="000221D1" w:rsidRPr="007512CE" w:rsidRDefault="000221D1" w:rsidP="00941E04">
            <w:pPr>
              <w:spacing w:line="280" w:lineRule="exact"/>
              <w:rPr>
                <w:b/>
                <w:i/>
                <w:sz w:val="18"/>
                <w:szCs w:val="18"/>
                <w:lang w:val="nl-NL"/>
              </w:rPr>
            </w:pPr>
          </w:p>
        </w:tc>
      </w:tr>
      <w:tr w:rsidR="00447A87" w:rsidRPr="000221D1" w:rsidTr="00CC1D51">
        <w:trPr>
          <w:trHeight w:val="540"/>
        </w:trPr>
        <w:tc>
          <w:tcPr>
            <w:tcW w:w="6716" w:type="dxa"/>
            <w:shd w:val="clear" w:color="auto" w:fill="92D050"/>
            <w:noWrap/>
            <w:hideMark/>
          </w:tcPr>
          <w:p w:rsidR="00447A87" w:rsidRPr="000221D1" w:rsidRDefault="003303BD" w:rsidP="00E34E57">
            <w:pPr>
              <w:spacing w:after="240" w:line="280" w:lineRule="atLeast"/>
              <w:rPr>
                <w:rFonts w:cs="Arial"/>
                <w:b/>
                <w:bCs/>
                <w:color w:val="FFFFFF" w:themeColor="background1"/>
                <w:szCs w:val="18"/>
                <w:lang w:val="nl-NL"/>
              </w:rPr>
            </w:pPr>
            <w:r>
              <w:rPr>
                <w:rFonts w:cs="Arial"/>
                <w:b/>
                <w:bCs/>
                <w:color w:val="FFFFFF" w:themeColor="background1"/>
                <w:szCs w:val="18"/>
                <w:lang w:val="nl-NL"/>
              </w:rPr>
              <w:t>Arkel</w:t>
            </w:r>
            <w:r w:rsidR="004C1529">
              <w:rPr>
                <w:rFonts w:cs="Arial"/>
                <w:b/>
                <w:bCs/>
                <w:color w:val="FFFFFF" w:themeColor="background1"/>
                <w:szCs w:val="18"/>
                <w:lang w:val="nl-NL"/>
              </w:rPr>
              <w:t xml:space="preserve"> dat afwijk</w:t>
            </w:r>
            <w:r>
              <w:rPr>
                <w:rFonts w:cs="Arial"/>
                <w:b/>
                <w:bCs/>
                <w:color w:val="FFFFFF" w:themeColor="background1"/>
                <w:szCs w:val="18"/>
                <w:lang w:val="nl-NL"/>
              </w:rPr>
              <w:t>t</w:t>
            </w:r>
            <w:r w:rsidR="004C1529">
              <w:rPr>
                <w:rFonts w:cs="Arial"/>
                <w:b/>
                <w:bCs/>
                <w:color w:val="FFFFFF" w:themeColor="background1"/>
                <w:szCs w:val="18"/>
                <w:lang w:val="nl-NL"/>
              </w:rPr>
              <w:t xml:space="preserve"> van het basismodel</w:t>
            </w:r>
          </w:p>
        </w:tc>
        <w:tc>
          <w:tcPr>
            <w:tcW w:w="6717" w:type="dxa"/>
            <w:shd w:val="clear" w:color="auto" w:fill="92D050"/>
          </w:tcPr>
          <w:p w:rsidR="00447A87" w:rsidRPr="000221D1" w:rsidRDefault="00447A87" w:rsidP="00E34E57">
            <w:pPr>
              <w:spacing w:after="240" w:line="280" w:lineRule="atLeast"/>
              <w:rPr>
                <w:rFonts w:cs="Arial"/>
                <w:b/>
                <w:bCs/>
                <w:color w:val="FFFFFF" w:themeColor="background1"/>
                <w:szCs w:val="18"/>
                <w:lang w:val="nl-NL"/>
              </w:rPr>
            </w:pPr>
            <w:r w:rsidRPr="000221D1">
              <w:rPr>
                <w:rFonts w:cs="Arial"/>
                <w:b/>
                <w:bCs/>
                <w:color w:val="FFFFFF" w:themeColor="background1"/>
                <w:szCs w:val="18"/>
                <w:lang w:val="nl-NL"/>
              </w:rPr>
              <w:t>Toelichting</w:t>
            </w:r>
          </w:p>
        </w:tc>
      </w:tr>
      <w:tr w:rsidR="00447A87" w:rsidRPr="00714C9C" w:rsidTr="00CC1D51">
        <w:trPr>
          <w:trHeight w:val="600"/>
        </w:trPr>
        <w:tc>
          <w:tcPr>
            <w:tcW w:w="6716" w:type="dxa"/>
            <w:hideMark/>
          </w:tcPr>
          <w:p w:rsidR="00D909E4" w:rsidRPr="00D909E4" w:rsidRDefault="00D909E4" w:rsidP="00D909E4">
            <w:pPr>
              <w:pStyle w:val="LLDeedWhereas"/>
              <w:rPr>
                <w:b/>
                <w:i/>
              </w:rPr>
            </w:pPr>
            <w:r w:rsidRPr="00D909E4">
              <w:rPr>
                <w:b/>
                <w:i/>
              </w:rPr>
              <w:t>DEFINITIES</w:t>
            </w:r>
          </w:p>
          <w:p w:rsidR="003303BD" w:rsidRPr="003303BD" w:rsidRDefault="00D909E4" w:rsidP="00D909E4">
            <w:pPr>
              <w:pStyle w:val="ListParagraph"/>
              <w:tabs>
                <w:tab w:val="left" w:pos="567"/>
              </w:tabs>
              <w:spacing w:after="240" w:line="280" w:lineRule="atLeast"/>
              <w:ind w:left="567"/>
              <w:rPr>
                <w:rFonts w:cs="Arial"/>
                <w:b/>
                <w:i/>
                <w:sz w:val="18"/>
                <w:szCs w:val="18"/>
                <w:lang w:val="nl-NL"/>
              </w:rPr>
            </w:pPr>
            <w:r w:rsidRPr="003303BD">
              <w:rPr>
                <w:rFonts w:cs="Arial"/>
                <w:i/>
                <w:sz w:val="18"/>
                <w:szCs w:val="18"/>
                <w:lang w:val="nl-NL"/>
              </w:rPr>
              <w:t xml:space="preserve"> </w:t>
            </w:r>
            <w:r w:rsidR="003303BD" w:rsidRPr="003303BD">
              <w:rPr>
                <w:rFonts w:cs="Arial"/>
                <w:i/>
                <w:sz w:val="18"/>
                <w:szCs w:val="18"/>
                <w:lang w:val="nl-NL"/>
              </w:rPr>
              <w:t>“</w:t>
            </w:r>
            <w:r w:rsidR="003303BD" w:rsidRPr="003303BD">
              <w:rPr>
                <w:rFonts w:cs="Arial"/>
                <w:b/>
                <w:i/>
                <w:sz w:val="18"/>
                <w:szCs w:val="18"/>
                <w:lang w:val="nl-NL"/>
              </w:rPr>
              <w:t>Lease Overeenkomst:</w:t>
            </w:r>
          </w:p>
          <w:p w:rsidR="0026268C" w:rsidRPr="003303BD" w:rsidRDefault="003303BD" w:rsidP="003303BD">
            <w:pPr>
              <w:pStyle w:val="ListParagraph"/>
              <w:tabs>
                <w:tab w:val="left" w:pos="567"/>
              </w:tabs>
              <w:spacing w:after="240" w:line="280" w:lineRule="atLeast"/>
              <w:ind w:left="567"/>
              <w:rPr>
                <w:rFonts w:cs="Arial"/>
                <w:i/>
                <w:sz w:val="18"/>
                <w:szCs w:val="18"/>
                <w:lang w:val="nl-NL"/>
              </w:rPr>
            </w:pPr>
            <w:r w:rsidRPr="003303BD">
              <w:rPr>
                <w:rFonts w:cs="Arial"/>
                <w:i/>
                <w:sz w:val="18"/>
                <w:szCs w:val="18"/>
                <w:lang w:val="nl-NL"/>
              </w:rPr>
              <w:t xml:space="preserve">de tussen Opstaller en </w:t>
            </w:r>
            <w:r>
              <w:rPr>
                <w:rFonts w:cs="Arial"/>
                <w:i/>
                <w:sz w:val="18"/>
                <w:szCs w:val="18"/>
                <w:lang w:val="nl-NL"/>
              </w:rPr>
              <w:sym w:font="Wingdings" w:char="F06C"/>
            </w:r>
            <w:r w:rsidRPr="003303BD">
              <w:rPr>
                <w:rFonts w:cs="Arial"/>
                <w:i/>
                <w:sz w:val="18"/>
                <w:szCs w:val="18"/>
                <w:lang w:val="nl-NL"/>
              </w:rPr>
              <w:t xml:space="preserve"> gesloten of te sluiten overeenkomst betreffende </w:t>
            </w:r>
            <w:r>
              <w:rPr>
                <w:rFonts w:cs="Arial"/>
                <w:i/>
                <w:sz w:val="18"/>
                <w:szCs w:val="18"/>
                <w:lang w:val="nl-NL"/>
              </w:rPr>
              <w:t xml:space="preserve">de </w:t>
            </w:r>
            <w:r w:rsidRPr="003303BD">
              <w:rPr>
                <w:rFonts w:cs="Arial"/>
                <w:i/>
                <w:sz w:val="18"/>
                <w:szCs w:val="18"/>
                <w:lang w:val="nl-NL"/>
              </w:rPr>
              <w:t>verhuur en huur van het zonnestroomsysteem naar een zogenaamd</w:t>
            </w:r>
            <w:r>
              <w:rPr>
                <w:rFonts w:cs="Arial"/>
                <w:i/>
                <w:sz w:val="18"/>
                <w:szCs w:val="18"/>
                <w:lang w:val="nl-NL"/>
              </w:rPr>
              <w:t xml:space="preserve"> </w:t>
            </w:r>
            <w:proofErr w:type="spellStart"/>
            <w:r>
              <w:rPr>
                <w:rFonts w:cs="Arial"/>
                <w:i/>
                <w:sz w:val="18"/>
                <w:szCs w:val="18"/>
                <w:lang w:val="nl-NL"/>
              </w:rPr>
              <w:lastRenderedPageBreak/>
              <w:t>operational</w:t>
            </w:r>
            <w:proofErr w:type="spellEnd"/>
            <w:r>
              <w:rPr>
                <w:rFonts w:cs="Arial"/>
                <w:i/>
                <w:sz w:val="18"/>
                <w:szCs w:val="18"/>
                <w:lang w:val="nl-NL"/>
              </w:rPr>
              <w:t xml:space="preserve"> lease model;”</w:t>
            </w:r>
          </w:p>
        </w:tc>
        <w:tc>
          <w:tcPr>
            <w:tcW w:w="6717" w:type="dxa"/>
          </w:tcPr>
          <w:p w:rsidR="00447A87" w:rsidRPr="00447A87" w:rsidRDefault="003303BD" w:rsidP="00285AA4">
            <w:pPr>
              <w:spacing w:after="240" w:line="280" w:lineRule="atLeast"/>
              <w:rPr>
                <w:rFonts w:cs="Arial"/>
                <w:sz w:val="18"/>
                <w:szCs w:val="18"/>
                <w:lang w:val="nl-NL"/>
              </w:rPr>
            </w:pPr>
            <w:r>
              <w:rPr>
                <w:rFonts w:cs="Arial"/>
                <w:sz w:val="18"/>
                <w:szCs w:val="18"/>
                <w:lang w:val="nl-NL"/>
              </w:rPr>
              <w:lastRenderedPageBreak/>
              <w:t>Hier dient een verwijzing opgenomen te worden naar de</w:t>
            </w:r>
            <w:r w:rsidR="00285AA4">
              <w:rPr>
                <w:rFonts w:cs="Arial"/>
                <w:sz w:val="18"/>
                <w:szCs w:val="18"/>
                <w:lang w:val="nl-NL"/>
              </w:rPr>
              <w:t xml:space="preserve"> betreffende</w:t>
            </w:r>
            <w:r>
              <w:rPr>
                <w:rFonts w:cs="Arial"/>
                <w:sz w:val="18"/>
                <w:szCs w:val="18"/>
                <w:lang w:val="nl-NL"/>
              </w:rPr>
              <w:t xml:space="preserve"> (</w:t>
            </w:r>
            <w:proofErr w:type="spellStart"/>
            <w:r>
              <w:rPr>
                <w:rFonts w:cs="Arial"/>
                <w:sz w:val="18"/>
                <w:szCs w:val="18"/>
                <w:lang w:val="nl-NL"/>
              </w:rPr>
              <w:t>operational</w:t>
            </w:r>
            <w:proofErr w:type="spellEnd"/>
            <w:r>
              <w:rPr>
                <w:rFonts w:cs="Arial"/>
                <w:sz w:val="18"/>
                <w:szCs w:val="18"/>
                <w:lang w:val="nl-NL"/>
              </w:rPr>
              <w:t>) lease overeenkomst.</w:t>
            </w:r>
          </w:p>
        </w:tc>
      </w:tr>
      <w:tr w:rsidR="00CC1D51" w:rsidRPr="003303BD" w:rsidTr="00CC1D51">
        <w:trPr>
          <w:trHeight w:val="763"/>
        </w:trPr>
        <w:tc>
          <w:tcPr>
            <w:tcW w:w="6716" w:type="dxa"/>
          </w:tcPr>
          <w:p w:rsidR="003303BD" w:rsidRPr="002D0DDA" w:rsidRDefault="003303BD" w:rsidP="002D0DDA">
            <w:pPr>
              <w:tabs>
                <w:tab w:val="left" w:pos="567"/>
              </w:tabs>
              <w:spacing w:after="240" w:line="280" w:lineRule="atLeast"/>
              <w:ind w:left="567" w:hanging="567"/>
              <w:rPr>
                <w:i/>
                <w:sz w:val="18"/>
                <w:szCs w:val="18"/>
                <w:lang w:val="nl-NL"/>
              </w:rPr>
            </w:pPr>
            <w:r w:rsidRPr="00D909E4">
              <w:rPr>
                <w:i/>
                <w:sz w:val="18"/>
                <w:szCs w:val="18"/>
                <w:lang w:val="nl-NL"/>
              </w:rPr>
              <w:lastRenderedPageBreak/>
              <w:t xml:space="preserve">5.3 </w:t>
            </w:r>
            <w:r w:rsidR="0099024E" w:rsidRPr="00D909E4">
              <w:rPr>
                <w:i/>
                <w:sz w:val="18"/>
                <w:szCs w:val="18"/>
                <w:lang w:val="nl-NL"/>
              </w:rPr>
              <w:tab/>
            </w:r>
            <w:r w:rsidRPr="00D909E4">
              <w:rPr>
                <w:i/>
                <w:sz w:val="18"/>
                <w:szCs w:val="18"/>
                <w:lang w:val="nl-NL"/>
              </w:rPr>
              <w:t xml:space="preserve">Voor zover in de Lease Overeenkomst van het in dit artikel 5 bepaalde is afgeweken, prevaleert het bepaalde in de Lease Overeenkomst bij wijze van afwijkende (obligatoire) overeenkomst tussen de betreffende partijen, welke (obligatoire) overeenkomst geen goederenrechtelijke werking verkrijgt doordat er in dit artikel naar wordt </w:t>
            </w:r>
            <w:r w:rsidRPr="00D909E4">
              <w:rPr>
                <w:rFonts w:cs="Arial"/>
                <w:i/>
                <w:sz w:val="18"/>
                <w:szCs w:val="18"/>
                <w:lang w:val="nl-NL"/>
              </w:rPr>
              <w:t>verwezen</w:t>
            </w:r>
            <w:r w:rsidRPr="00D909E4">
              <w:rPr>
                <w:i/>
                <w:sz w:val="18"/>
                <w:szCs w:val="18"/>
                <w:lang w:val="nl-NL"/>
              </w:rPr>
              <w:t>.</w:t>
            </w:r>
          </w:p>
        </w:tc>
        <w:tc>
          <w:tcPr>
            <w:tcW w:w="6717" w:type="dxa"/>
          </w:tcPr>
          <w:p w:rsidR="00CC1D51" w:rsidRPr="007512CE" w:rsidRDefault="003303BD" w:rsidP="00BB3405">
            <w:pPr>
              <w:spacing w:after="240" w:line="280" w:lineRule="atLeast"/>
              <w:rPr>
                <w:rFonts w:cs="Arial"/>
                <w:sz w:val="18"/>
                <w:szCs w:val="18"/>
                <w:lang w:val="nl-NL"/>
              </w:rPr>
            </w:pPr>
            <w:r>
              <w:rPr>
                <w:rFonts w:cs="Arial"/>
                <w:sz w:val="18"/>
                <w:szCs w:val="18"/>
                <w:lang w:val="nl-NL"/>
              </w:rPr>
              <w:t>Dit betreft een aanvulling op het basismodel</w:t>
            </w:r>
            <w:r w:rsidR="00285AA4">
              <w:rPr>
                <w:rFonts w:cs="Arial"/>
                <w:sz w:val="18"/>
                <w:szCs w:val="18"/>
                <w:lang w:val="nl-NL"/>
              </w:rPr>
              <w:t>. In de Lease Overeenkomst kan hier van afgeweken zijn. Om ervoor te zorgen dat de akte d</w:t>
            </w:r>
            <w:r w:rsidR="0099024E">
              <w:rPr>
                <w:rFonts w:cs="Arial"/>
                <w:sz w:val="18"/>
                <w:szCs w:val="18"/>
                <w:lang w:val="nl-NL"/>
              </w:rPr>
              <w:t xml:space="preserve">eze afspraken niet overschrijft is deze bepaling nodig. Uitdrukkelijk wordt hier geen </w:t>
            </w:r>
            <w:proofErr w:type="spellStart"/>
            <w:r w:rsidR="0099024E">
              <w:rPr>
                <w:rFonts w:cs="Arial"/>
                <w:sz w:val="18"/>
                <w:szCs w:val="18"/>
                <w:lang w:val="nl-NL"/>
              </w:rPr>
              <w:t>derdenwerking</w:t>
            </w:r>
            <w:proofErr w:type="spellEnd"/>
            <w:r w:rsidR="0099024E">
              <w:rPr>
                <w:rFonts w:cs="Arial"/>
                <w:sz w:val="18"/>
                <w:szCs w:val="18"/>
                <w:lang w:val="nl-NL"/>
              </w:rPr>
              <w:t xml:space="preserve"> aan toegekend.</w:t>
            </w:r>
          </w:p>
        </w:tc>
      </w:tr>
      <w:tr w:rsidR="00285AA4" w:rsidRPr="00714C9C" w:rsidTr="00CC1D51">
        <w:trPr>
          <w:trHeight w:val="763"/>
        </w:trPr>
        <w:tc>
          <w:tcPr>
            <w:tcW w:w="6716" w:type="dxa"/>
          </w:tcPr>
          <w:p w:rsidR="00285AA4" w:rsidRPr="000618F4" w:rsidRDefault="00285AA4" w:rsidP="00D909E4">
            <w:pPr>
              <w:tabs>
                <w:tab w:val="left" w:pos="567"/>
              </w:tabs>
              <w:spacing w:after="240" w:line="280" w:lineRule="atLeast"/>
              <w:ind w:left="567" w:hanging="567"/>
              <w:rPr>
                <w:i/>
                <w:sz w:val="18"/>
                <w:szCs w:val="18"/>
                <w:lang w:val="nl-NL"/>
              </w:rPr>
            </w:pPr>
            <w:r w:rsidRPr="000618F4">
              <w:rPr>
                <w:i/>
                <w:sz w:val="18"/>
                <w:szCs w:val="18"/>
                <w:lang w:val="nl-NL"/>
              </w:rPr>
              <w:t xml:space="preserve">10.4 </w:t>
            </w:r>
            <w:r w:rsidR="0099024E" w:rsidRPr="000618F4">
              <w:rPr>
                <w:i/>
                <w:sz w:val="18"/>
                <w:szCs w:val="18"/>
                <w:lang w:val="nl-NL"/>
              </w:rPr>
              <w:tab/>
            </w:r>
            <w:r w:rsidRPr="000618F4">
              <w:rPr>
                <w:i/>
                <w:sz w:val="18"/>
                <w:szCs w:val="18"/>
                <w:lang w:val="nl-NL"/>
              </w:rPr>
              <w:t xml:space="preserve">Partijen komen overeen dat de retributie verrekend kan worden met vorderingen van Opstaller uit hoofde van de Lease Overeenkomst, voor zover de </w:t>
            </w:r>
            <w:r w:rsidRPr="007A2247">
              <w:rPr>
                <w:rFonts w:cs="Arial"/>
                <w:i/>
                <w:sz w:val="18"/>
                <w:szCs w:val="18"/>
                <w:lang w:val="nl-NL"/>
              </w:rPr>
              <w:t>wederpartij</w:t>
            </w:r>
            <w:r w:rsidRPr="000618F4">
              <w:rPr>
                <w:i/>
                <w:sz w:val="18"/>
                <w:szCs w:val="18"/>
                <w:lang w:val="nl-NL"/>
              </w:rPr>
              <w:t xml:space="preserve"> daarbij tevens de Eigenaar is.</w:t>
            </w:r>
          </w:p>
        </w:tc>
        <w:tc>
          <w:tcPr>
            <w:tcW w:w="6717" w:type="dxa"/>
          </w:tcPr>
          <w:p w:rsidR="00285AA4" w:rsidRDefault="0099024E" w:rsidP="004B3D61">
            <w:pPr>
              <w:spacing w:after="240" w:line="280" w:lineRule="atLeast"/>
              <w:rPr>
                <w:rFonts w:cs="Arial"/>
                <w:sz w:val="18"/>
                <w:szCs w:val="18"/>
                <w:lang w:val="nl-NL"/>
              </w:rPr>
            </w:pPr>
            <w:r>
              <w:rPr>
                <w:rFonts w:cs="Arial"/>
                <w:sz w:val="18"/>
                <w:szCs w:val="18"/>
                <w:lang w:val="nl-NL"/>
              </w:rPr>
              <w:t>Dit zal doorgaans het geval zijn, vandaar dat de mogelijkheid hiertoe expliciet benoemd wordt.</w:t>
            </w:r>
          </w:p>
        </w:tc>
      </w:tr>
      <w:tr w:rsidR="00285AA4" w:rsidRPr="00714C9C" w:rsidTr="00CC1D51">
        <w:trPr>
          <w:trHeight w:val="763"/>
        </w:trPr>
        <w:tc>
          <w:tcPr>
            <w:tcW w:w="6716" w:type="dxa"/>
          </w:tcPr>
          <w:p w:rsidR="00DB5AE8" w:rsidRPr="00DB5AE8" w:rsidRDefault="00DB5AE8" w:rsidP="002D0DDA">
            <w:pPr>
              <w:tabs>
                <w:tab w:val="left" w:pos="567"/>
              </w:tabs>
              <w:spacing w:line="280" w:lineRule="atLeast"/>
              <w:ind w:left="567" w:hanging="567"/>
              <w:rPr>
                <w:b/>
                <w:i/>
                <w:sz w:val="18"/>
                <w:szCs w:val="18"/>
                <w:lang w:val="nl-NL"/>
              </w:rPr>
            </w:pPr>
            <w:r w:rsidRPr="00DB5AE8">
              <w:rPr>
                <w:b/>
                <w:i/>
                <w:sz w:val="18"/>
                <w:szCs w:val="18"/>
                <w:lang w:val="nl-NL"/>
              </w:rPr>
              <w:t>11</w:t>
            </w:r>
            <w:r w:rsidRPr="00DB5AE8">
              <w:rPr>
                <w:b/>
                <w:i/>
                <w:sz w:val="18"/>
                <w:szCs w:val="18"/>
                <w:lang w:val="nl-NL"/>
              </w:rPr>
              <w:tab/>
              <w:t>Bestemming en gebruik</w:t>
            </w:r>
          </w:p>
          <w:p w:rsidR="00285AA4" w:rsidRPr="00D909E4" w:rsidRDefault="00285AA4" w:rsidP="002D0DDA">
            <w:pPr>
              <w:tabs>
                <w:tab w:val="left" w:pos="567"/>
              </w:tabs>
              <w:spacing w:line="280" w:lineRule="atLeast"/>
              <w:ind w:left="567" w:hanging="567"/>
              <w:rPr>
                <w:i/>
                <w:sz w:val="18"/>
                <w:szCs w:val="18"/>
                <w:lang w:val="nl-NL"/>
              </w:rPr>
            </w:pPr>
            <w:r w:rsidRPr="00D909E4">
              <w:rPr>
                <w:i/>
                <w:sz w:val="18"/>
                <w:szCs w:val="18"/>
                <w:lang w:val="nl-NL"/>
              </w:rPr>
              <w:t>11.1</w:t>
            </w:r>
            <w:r w:rsidRPr="00D909E4">
              <w:rPr>
                <w:i/>
                <w:sz w:val="18"/>
                <w:szCs w:val="18"/>
                <w:lang w:val="nl-NL"/>
              </w:rPr>
              <w:tab/>
              <w:t>De Opstallen mogen uitsluitend worden gebruikt als fotovoltaïsche installatie, bedoeld voor het omzetten van zonne-energie in elektriciteit en levering daarvan.</w:t>
            </w:r>
          </w:p>
          <w:p w:rsidR="00285AA4" w:rsidRPr="000618F4" w:rsidRDefault="00285AA4" w:rsidP="00D909E4">
            <w:pPr>
              <w:tabs>
                <w:tab w:val="left" w:pos="567"/>
              </w:tabs>
              <w:spacing w:after="240" w:line="280" w:lineRule="atLeast"/>
              <w:ind w:left="567" w:hanging="567"/>
              <w:rPr>
                <w:i/>
                <w:sz w:val="18"/>
                <w:szCs w:val="18"/>
                <w:lang w:val="nl-NL"/>
              </w:rPr>
            </w:pPr>
            <w:r w:rsidRPr="000618F4">
              <w:rPr>
                <w:i/>
                <w:sz w:val="18"/>
                <w:szCs w:val="18"/>
                <w:lang w:val="nl-NL"/>
              </w:rPr>
              <w:t>11.2</w:t>
            </w:r>
            <w:r w:rsidRPr="000618F4">
              <w:rPr>
                <w:i/>
                <w:sz w:val="18"/>
                <w:szCs w:val="18"/>
                <w:lang w:val="nl-NL"/>
              </w:rPr>
              <w:tab/>
              <w:t>Mede op heden is Opstaller met [Eigenaar / [</w:t>
            </w:r>
            <w:r w:rsidR="0099024E">
              <w:rPr>
                <w:i/>
                <w:sz w:val="18"/>
                <w:szCs w:val="18"/>
              </w:rPr>
              <w:sym w:font="Wingdings" w:char="F06C"/>
            </w:r>
            <w:r w:rsidRPr="000618F4">
              <w:rPr>
                <w:i/>
                <w:sz w:val="18"/>
                <w:szCs w:val="18"/>
                <w:lang w:val="nl-NL"/>
              </w:rPr>
              <w:t xml:space="preserve"> naam huurder]] de Lease </w:t>
            </w:r>
            <w:r w:rsidRPr="007A2247">
              <w:rPr>
                <w:rFonts w:cs="Arial"/>
                <w:i/>
                <w:sz w:val="18"/>
                <w:szCs w:val="18"/>
                <w:lang w:val="nl-NL"/>
              </w:rPr>
              <w:t>Overeenkomst</w:t>
            </w:r>
            <w:r w:rsidRPr="000618F4">
              <w:rPr>
                <w:i/>
                <w:sz w:val="18"/>
                <w:szCs w:val="18"/>
                <w:lang w:val="nl-NL"/>
              </w:rPr>
              <w:t xml:space="preserve"> aangegaan</w:t>
            </w:r>
            <w:r w:rsidR="00DB5AE8">
              <w:rPr>
                <w:i/>
                <w:sz w:val="18"/>
                <w:szCs w:val="18"/>
                <w:lang w:val="nl-NL"/>
              </w:rPr>
              <w:t>.</w:t>
            </w:r>
          </w:p>
        </w:tc>
        <w:tc>
          <w:tcPr>
            <w:tcW w:w="6717" w:type="dxa"/>
          </w:tcPr>
          <w:p w:rsidR="00285AA4" w:rsidRDefault="0099024E" w:rsidP="004B3D61">
            <w:pPr>
              <w:spacing w:after="240" w:line="280" w:lineRule="atLeast"/>
              <w:rPr>
                <w:rFonts w:cs="Arial"/>
                <w:sz w:val="18"/>
                <w:szCs w:val="18"/>
                <w:lang w:val="nl-NL"/>
              </w:rPr>
            </w:pPr>
            <w:r>
              <w:rPr>
                <w:rFonts w:cs="Arial"/>
                <w:sz w:val="18"/>
                <w:szCs w:val="18"/>
                <w:lang w:val="nl-NL"/>
              </w:rPr>
              <w:t>Deze aanpassing is nodig in verband met de verwijzing naar de Lease Overeenkomst. Daarin zullen de onderwerpen geregeld zijn omtrent het gebruik en opwekking.</w:t>
            </w:r>
          </w:p>
        </w:tc>
      </w:tr>
      <w:tr w:rsidR="00285AA4" w:rsidRPr="003303BD" w:rsidTr="00CC1D51">
        <w:trPr>
          <w:trHeight w:val="763"/>
        </w:trPr>
        <w:tc>
          <w:tcPr>
            <w:tcW w:w="6716" w:type="dxa"/>
          </w:tcPr>
          <w:p w:rsidR="00285AA4" w:rsidRPr="007A2247" w:rsidRDefault="00285AA4" w:rsidP="00D909E4">
            <w:pPr>
              <w:tabs>
                <w:tab w:val="left" w:pos="567"/>
              </w:tabs>
              <w:spacing w:after="240" w:line="280" w:lineRule="atLeast"/>
              <w:ind w:left="567" w:hanging="567"/>
              <w:rPr>
                <w:i/>
                <w:sz w:val="18"/>
                <w:szCs w:val="18"/>
                <w:lang w:val="nl-NL"/>
              </w:rPr>
            </w:pPr>
            <w:r w:rsidRPr="000618F4">
              <w:rPr>
                <w:i/>
                <w:sz w:val="18"/>
                <w:szCs w:val="18"/>
                <w:lang w:val="nl-NL"/>
              </w:rPr>
              <w:t>12.6</w:t>
            </w:r>
            <w:r w:rsidRPr="000618F4">
              <w:rPr>
                <w:i/>
                <w:sz w:val="18"/>
                <w:szCs w:val="18"/>
                <w:lang w:val="nl-NL"/>
              </w:rPr>
              <w:tab/>
              <w:t xml:space="preserve">Voor zover in de Lease Overeenkomst van het in dit artikel 12 bepaalde is </w:t>
            </w:r>
            <w:r w:rsidRPr="00D909E4">
              <w:rPr>
                <w:i/>
                <w:sz w:val="18"/>
                <w:szCs w:val="18"/>
                <w:lang w:val="nl-NL"/>
              </w:rPr>
              <w:t>afgeweken</w:t>
            </w:r>
            <w:r w:rsidRPr="000618F4">
              <w:rPr>
                <w:i/>
                <w:sz w:val="18"/>
                <w:szCs w:val="18"/>
                <w:lang w:val="nl-NL"/>
              </w:rPr>
              <w:t>, prevaleert het bepaalde in de Lease Overeenkomst bij wijze van afwijkende (obligatoire) overeenkomst tussen de betreffende partijen, welke (obligatoire) overeenkomst geen goederenrechtelijke werking verkrijgt doordat er in dit artikel naar wordt verwezen.</w:t>
            </w:r>
          </w:p>
        </w:tc>
        <w:tc>
          <w:tcPr>
            <w:tcW w:w="6717" w:type="dxa"/>
          </w:tcPr>
          <w:p w:rsidR="00285AA4" w:rsidRDefault="00BB3405" w:rsidP="00BB3405">
            <w:pPr>
              <w:spacing w:after="240" w:line="280" w:lineRule="atLeast"/>
              <w:rPr>
                <w:rFonts w:cs="Arial"/>
                <w:sz w:val="18"/>
                <w:szCs w:val="18"/>
                <w:lang w:val="nl-NL"/>
              </w:rPr>
            </w:pPr>
            <w:r>
              <w:rPr>
                <w:rFonts w:cs="Arial"/>
                <w:sz w:val="18"/>
                <w:szCs w:val="18"/>
                <w:lang w:val="nl-NL"/>
              </w:rPr>
              <w:t xml:space="preserve">Dit betreft een aanvulling op het basismodel. In de Lease Overeenkomst kan hier van afgeweken zijn. Om ervoor te zorgen dat de akte deze afspraken niet overschrijft is deze bepaling nodig. Uitdrukkelijk wordt hier geen </w:t>
            </w:r>
            <w:proofErr w:type="spellStart"/>
            <w:r>
              <w:rPr>
                <w:rFonts w:cs="Arial"/>
                <w:sz w:val="18"/>
                <w:szCs w:val="18"/>
                <w:lang w:val="nl-NL"/>
              </w:rPr>
              <w:t>derdenwerking</w:t>
            </w:r>
            <w:proofErr w:type="spellEnd"/>
            <w:r>
              <w:rPr>
                <w:rFonts w:cs="Arial"/>
                <w:sz w:val="18"/>
                <w:szCs w:val="18"/>
                <w:lang w:val="nl-NL"/>
              </w:rPr>
              <w:t xml:space="preserve"> aan toegekend</w:t>
            </w:r>
            <w:r w:rsidR="00DB5AE8">
              <w:rPr>
                <w:rFonts w:cs="Arial"/>
                <w:sz w:val="18"/>
                <w:szCs w:val="18"/>
                <w:lang w:val="nl-NL"/>
              </w:rPr>
              <w:t>.</w:t>
            </w:r>
          </w:p>
        </w:tc>
      </w:tr>
      <w:tr w:rsidR="00285AA4" w:rsidRPr="00714C9C" w:rsidTr="00CC1D51">
        <w:trPr>
          <w:trHeight w:val="763"/>
        </w:trPr>
        <w:tc>
          <w:tcPr>
            <w:tcW w:w="6716" w:type="dxa"/>
          </w:tcPr>
          <w:p w:rsidR="00285AA4" w:rsidRDefault="00285AA4" w:rsidP="00D909E4">
            <w:pPr>
              <w:pStyle w:val="LLDeedHeading2"/>
              <w:rPr>
                <w:i/>
                <w:sz w:val="18"/>
                <w:szCs w:val="18"/>
              </w:rPr>
            </w:pPr>
            <w:r>
              <w:rPr>
                <w:i/>
                <w:sz w:val="18"/>
                <w:szCs w:val="18"/>
              </w:rPr>
              <w:t>Artikel 13 is verwijderd</w:t>
            </w:r>
          </w:p>
        </w:tc>
        <w:tc>
          <w:tcPr>
            <w:tcW w:w="6717" w:type="dxa"/>
          </w:tcPr>
          <w:p w:rsidR="00285AA4" w:rsidRDefault="00BB3405" w:rsidP="00DB5AE8">
            <w:pPr>
              <w:tabs>
                <w:tab w:val="left" w:pos="2486"/>
              </w:tabs>
              <w:spacing w:after="240" w:line="280" w:lineRule="atLeast"/>
              <w:rPr>
                <w:rFonts w:cs="Arial"/>
                <w:sz w:val="18"/>
                <w:szCs w:val="18"/>
                <w:lang w:val="nl-NL"/>
              </w:rPr>
            </w:pPr>
            <w:r>
              <w:rPr>
                <w:rFonts w:cs="Arial"/>
                <w:sz w:val="18"/>
                <w:szCs w:val="18"/>
                <w:lang w:val="nl-NL"/>
              </w:rPr>
              <w:t xml:space="preserve">Deze onderwerpen gelden niet, omdat de eigenaar </w:t>
            </w:r>
            <w:proofErr w:type="spellStart"/>
            <w:r>
              <w:rPr>
                <w:rFonts w:cs="Arial"/>
                <w:sz w:val="18"/>
                <w:szCs w:val="18"/>
                <w:lang w:val="nl-NL"/>
              </w:rPr>
              <w:t>casu</w:t>
            </w:r>
            <w:proofErr w:type="spellEnd"/>
            <w:r>
              <w:rPr>
                <w:rFonts w:cs="Arial"/>
                <w:sz w:val="18"/>
                <w:szCs w:val="18"/>
                <w:lang w:val="nl-NL"/>
              </w:rPr>
              <w:t xml:space="preserve"> quo huurder zelf het zonnestroomsysteem </w:t>
            </w:r>
            <w:r w:rsidR="00DB5AE8">
              <w:rPr>
                <w:rFonts w:cs="Arial"/>
                <w:sz w:val="18"/>
                <w:szCs w:val="18"/>
                <w:lang w:val="nl-NL"/>
              </w:rPr>
              <w:t>zal</w:t>
            </w:r>
            <w:r>
              <w:rPr>
                <w:rFonts w:cs="Arial"/>
                <w:sz w:val="18"/>
                <w:szCs w:val="18"/>
                <w:lang w:val="nl-NL"/>
              </w:rPr>
              <w:t xml:space="preserve"> gebruiken. In de Lease Overeenkomst zullen bepalingen opgenomen kunnen worden die zien op de (tijdelijke) wijziging van het systeem.</w:t>
            </w:r>
            <w:r w:rsidR="00285AA4">
              <w:rPr>
                <w:rFonts w:cs="Arial"/>
                <w:sz w:val="18"/>
                <w:szCs w:val="18"/>
                <w:lang w:val="nl-NL"/>
              </w:rPr>
              <w:tab/>
            </w:r>
          </w:p>
        </w:tc>
      </w:tr>
      <w:tr w:rsidR="000618F4" w:rsidRPr="00714C9C" w:rsidTr="00CC1D51">
        <w:trPr>
          <w:trHeight w:val="763"/>
        </w:trPr>
        <w:tc>
          <w:tcPr>
            <w:tcW w:w="6716" w:type="dxa"/>
          </w:tcPr>
          <w:p w:rsidR="000618F4" w:rsidRPr="00D909E4" w:rsidRDefault="001C08DA" w:rsidP="00F45E2D">
            <w:pPr>
              <w:tabs>
                <w:tab w:val="left" w:pos="567"/>
              </w:tabs>
              <w:spacing w:after="240" w:line="280" w:lineRule="atLeast"/>
              <w:ind w:left="567" w:hanging="567"/>
              <w:rPr>
                <w:i/>
                <w:sz w:val="18"/>
                <w:szCs w:val="18"/>
                <w:lang w:val="nl-NL"/>
              </w:rPr>
            </w:pPr>
            <w:r>
              <w:rPr>
                <w:i/>
                <w:sz w:val="18"/>
                <w:szCs w:val="18"/>
                <w:lang w:val="nl-NL"/>
              </w:rPr>
              <w:t>19.2</w:t>
            </w:r>
            <w:r w:rsidR="00F45E2D" w:rsidRPr="00F45E2D">
              <w:rPr>
                <w:i/>
                <w:sz w:val="18"/>
                <w:szCs w:val="18"/>
                <w:lang w:val="nl-NL"/>
              </w:rPr>
              <w:tab/>
              <w:t xml:space="preserve">[OPTIE: Bij het einde van het Opstalrecht is Opstaller verplicht de Opstallen weg te nemen en het Dak, het Gebouw en de Onroerende Zaak voor eigen rekening en risico in de oude toestand terug te brengen, </w:t>
            </w:r>
            <w:r w:rsidR="00F45E2D" w:rsidRPr="00F45E2D">
              <w:rPr>
                <w:i/>
                <w:sz w:val="18"/>
                <w:szCs w:val="18"/>
                <w:lang w:val="nl-NL"/>
              </w:rPr>
              <w:lastRenderedPageBreak/>
              <w:t>rekening houdend met normale slijtage.]</w:t>
            </w:r>
          </w:p>
          <w:p w:rsidR="000618F4" w:rsidRPr="000618F4" w:rsidRDefault="000618F4" w:rsidP="000618F4">
            <w:pPr>
              <w:pStyle w:val="LLDeedHeading2"/>
              <w:ind w:left="567"/>
              <w:rPr>
                <w:i/>
                <w:sz w:val="18"/>
                <w:szCs w:val="18"/>
              </w:rPr>
            </w:pPr>
            <w:r w:rsidRPr="000618F4">
              <w:rPr>
                <w:i/>
                <w:sz w:val="18"/>
                <w:szCs w:val="18"/>
              </w:rPr>
              <w:t>[OPTIE: Bij het einde van het Opstalrecht is Opstaller gerechtigd doch niet verplicht de Opstallen weg te nemen en bij wegneming het Dak, het Gebouw en de Onroerende Zaak voor eigen rekening en risico in de oude toestand terug te brengen, rekening houdend met normale slijtage, tenzij Eigenaar schriftelijk heeft verzocht de Opstallen achter te laten in welk geval Eigenaar een marktconforme redelijke vergoeding voor de Opstallen verschuldigd zal zijn, waarbij rekening wordt gehouden met de gangbare afschrijving.]</w:t>
            </w:r>
          </w:p>
          <w:p w:rsidR="000618F4" w:rsidRPr="000618F4" w:rsidRDefault="000618F4" w:rsidP="000618F4">
            <w:pPr>
              <w:pStyle w:val="LLDeedHeading2"/>
              <w:ind w:left="567"/>
              <w:rPr>
                <w:i/>
                <w:sz w:val="18"/>
                <w:szCs w:val="18"/>
              </w:rPr>
            </w:pPr>
          </w:p>
          <w:p w:rsidR="000618F4" w:rsidRDefault="000618F4" w:rsidP="000618F4">
            <w:pPr>
              <w:pStyle w:val="LLDeedHeading2"/>
              <w:ind w:left="567"/>
              <w:rPr>
                <w:i/>
                <w:sz w:val="18"/>
                <w:szCs w:val="18"/>
              </w:rPr>
            </w:pPr>
            <w:r w:rsidRPr="000618F4">
              <w:rPr>
                <w:i/>
                <w:sz w:val="18"/>
                <w:szCs w:val="18"/>
              </w:rPr>
              <w:t xml:space="preserve">[OPTIE: Bij het einde van het Opstalrecht is Opstaller gerechtigd doch niet verplicht de Opstallen weg te nemen en bij wegneming het Dak, het Gebouw en de Onroerende Zaak voor eigen rekening en risico in de oude toestand terug te brengen, rekening houdend met normale slijtage, tenzij Eigenaar schriftelijk heeft verzocht de Opstallen achter te laten in welk geval Eigenaar een vergoeding van </w:t>
            </w:r>
            <w:r>
              <w:rPr>
                <w:i/>
                <w:sz w:val="18"/>
                <w:szCs w:val="18"/>
              </w:rPr>
              <w:sym w:font="Wingdings" w:char="F06C"/>
            </w:r>
            <w:r w:rsidRPr="000618F4">
              <w:rPr>
                <w:i/>
                <w:sz w:val="18"/>
                <w:szCs w:val="18"/>
              </w:rPr>
              <w:t xml:space="preserve"> euro (EUR </w:t>
            </w:r>
            <w:r>
              <w:rPr>
                <w:i/>
                <w:sz w:val="18"/>
                <w:szCs w:val="18"/>
              </w:rPr>
              <w:sym w:font="Wingdings" w:char="F06C"/>
            </w:r>
            <w:r w:rsidR="00A91EA4">
              <w:rPr>
                <w:i/>
                <w:sz w:val="18"/>
                <w:szCs w:val="18"/>
              </w:rPr>
              <w:t xml:space="preserve">) </w:t>
            </w:r>
            <w:r w:rsidRPr="000618F4">
              <w:rPr>
                <w:i/>
                <w:sz w:val="18"/>
                <w:szCs w:val="18"/>
              </w:rPr>
              <w:t>voor de Opstallen verschuldigd zal zijn.]</w:t>
            </w:r>
          </w:p>
          <w:p w:rsidR="000618F4" w:rsidRDefault="000618F4" w:rsidP="000618F4">
            <w:pPr>
              <w:pStyle w:val="LLDeedHeading2"/>
              <w:ind w:left="567"/>
              <w:rPr>
                <w:i/>
                <w:sz w:val="18"/>
                <w:szCs w:val="18"/>
              </w:rPr>
            </w:pPr>
          </w:p>
        </w:tc>
        <w:tc>
          <w:tcPr>
            <w:tcW w:w="6717" w:type="dxa"/>
          </w:tcPr>
          <w:p w:rsidR="000618F4" w:rsidRDefault="000618F4" w:rsidP="00285AA4">
            <w:pPr>
              <w:tabs>
                <w:tab w:val="left" w:pos="2486"/>
              </w:tabs>
              <w:spacing w:after="240" w:line="280" w:lineRule="atLeast"/>
              <w:rPr>
                <w:rFonts w:cs="Arial"/>
                <w:sz w:val="18"/>
                <w:szCs w:val="18"/>
                <w:lang w:val="nl-NL"/>
              </w:rPr>
            </w:pPr>
          </w:p>
        </w:tc>
      </w:tr>
      <w:tr w:rsidR="00285AA4" w:rsidRPr="003303BD" w:rsidTr="00CC1D51">
        <w:trPr>
          <w:trHeight w:val="763"/>
        </w:trPr>
        <w:tc>
          <w:tcPr>
            <w:tcW w:w="6716" w:type="dxa"/>
          </w:tcPr>
          <w:p w:rsidR="00BB3405" w:rsidRPr="00A91EA4" w:rsidRDefault="00285AA4" w:rsidP="00A91EA4">
            <w:pPr>
              <w:tabs>
                <w:tab w:val="left" w:pos="567"/>
              </w:tabs>
              <w:spacing w:after="240" w:line="280" w:lineRule="atLeast"/>
              <w:ind w:left="567" w:hanging="567"/>
              <w:rPr>
                <w:i/>
                <w:sz w:val="18"/>
                <w:szCs w:val="18"/>
                <w:lang w:val="nl-NL"/>
              </w:rPr>
            </w:pPr>
            <w:r w:rsidRPr="00DB5AE8">
              <w:rPr>
                <w:i/>
                <w:sz w:val="18"/>
                <w:szCs w:val="18"/>
                <w:lang w:val="nl-NL"/>
              </w:rPr>
              <w:lastRenderedPageBreak/>
              <w:t>19.4</w:t>
            </w:r>
            <w:r w:rsidRPr="00DB5AE8">
              <w:rPr>
                <w:i/>
                <w:sz w:val="18"/>
                <w:szCs w:val="18"/>
                <w:lang w:val="nl-NL"/>
              </w:rPr>
              <w:tab/>
              <w:t xml:space="preserve">Indien en voor zover in de Lease Overeenkomst een recht van koop is verstrekt aan de huurder onder de Lease Overeenkomst, en deze partij niet dezelfde is als de Eigenaar, dan is Eigenaar gehouden de uitoefening van dat recht te respecteren. Alsdan zal Eigenaar, waar nodig zijn rechten als opgenomen in dit artikel 19 zodanig uitoefenen dat uitvoering kan worden gegeven aan de Lease Overeenkomst. Eigenaar zal daarenboven de gewenste medewerking verlenen die het mogelijk maakt voor de betreffende huurder om de Opstallen (in economische zin) te verkrijgen, zoals het vestigen van een opstalrecht of het wijzigen van de betreffende huurovereenkomst met die huurder waarbij de Opstallen worden aangemerkt als door de huurder aangebrachte zaken. </w:t>
            </w:r>
            <w:r w:rsidRPr="00A91EA4">
              <w:rPr>
                <w:i/>
                <w:sz w:val="18"/>
                <w:szCs w:val="18"/>
                <w:lang w:val="nl-NL"/>
              </w:rPr>
              <w:t xml:space="preserve">Indien de Opstaller of de Eigenaar dat wenst, zullen zij tezamen met de betreffende huurder een drie-partijen-overeenkomst </w:t>
            </w:r>
            <w:r w:rsidR="00A91EA4" w:rsidRPr="00A91EA4">
              <w:rPr>
                <w:i/>
                <w:sz w:val="18"/>
                <w:szCs w:val="18"/>
                <w:lang w:val="nl-NL"/>
              </w:rPr>
              <w:t>sluiten aangaande dit onderwerp</w:t>
            </w:r>
            <w:r w:rsidR="00A91EA4">
              <w:rPr>
                <w:i/>
                <w:sz w:val="18"/>
                <w:szCs w:val="18"/>
                <w:lang w:val="nl-NL"/>
              </w:rPr>
              <w:t>.</w:t>
            </w:r>
          </w:p>
        </w:tc>
        <w:tc>
          <w:tcPr>
            <w:tcW w:w="6717" w:type="dxa"/>
          </w:tcPr>
          <w:p w:rsidR="00285AA4" w:rsidRDefault="00BB3405" w:rsidP="00DB5AE8">
            <w:pPr>
              <w:tabs>
                <w:tab w:val="left" w:pos="2486"/>
              </w:tabs>
              <w:spacing w:after="240" w:line="280" w:lineRule="atLeast"/>
              <w:rPr>
                <w:rFonts w:cs="Arial"/>
                <w:sz w:val="18"/>
                <w:szCs w:val="18"/>
                <w:lang w:val="nl-NL"/>
              </w:rPr>
            </w:pPr>
            <w:r>
              <w:rPr>
                <w:rFonts w:cs="Arial"/>
                <w:sz w:val="18"/>
                <w:szCs w:val="18"/>
                <w:lang w:val="nl-NL"/>
              </w:rPr>
              <w:t xml:space="preserve">Het komt vaak voor </w:t>
            </w:r>
            <w:r w:rsidR="00DB5AE8">
              <w:rPr>
                <w:rFonts w:cs="Arial"/>
                <w:sz w:val="18"/>
                <w:szCs w:val="18"/>
                <w:lang w:val="nl-NL"/>
              </w:rPr>
              <w:t>dat</w:t>
            </w:r>
            <w:r>
              <w:rPr>
                <w:rFonts w:cs="Arial"/>
                <w:sz w:val="18"/>
                <w:szCs w:val="18"/>
                <w:lang w:val="nl-NL"/>
              </w:rPr>
              <w:t xml:space="preserve"> in de Lease Overeenkomst een mogelijkheid is gegeven om het systeem bij einde van de overeenkomst over te nemen. Als dat de huurder van het gebouw is en niet de eigenaar, dan zou het mogelijk zo moeten zijn dat de eigenaar, huurder en opstaller met elkaar daar nadere afspraken over moeten maken. Dit artikel geeft daarvoor een opening.</w:t>
            </w:r>
          </w:p>
        </w:tc>
      </w:tr>
      <w:tr w:rsidR="00285AA4" w:rsidRPr="00714C9C" w:rsidTr="00CC1D51">
        <w:trPr>
          <w:trHeight w:val="763"/>
        </w:trPr>
        <w:tc>
          <w:tcPr>
            <w:tcW w:w="6716" w:type="dxa"/>
          </w:tcPr>
          <w:p w:rsidR="00285AA4" w:rsidRDefault="00285AA4" w:rsidP="00D909E4">
            <w:pPr>
              <w:pStyle w:val="LLDeedHeading2"/>
              <w:rPr>
                <w:i/>
                <w:sz w:val="18"/>
                <w:szCs w:val="18"/>
              </w:rPr>
            </w:pPr>
            <w:r>
              <w:rPr>
                <w:i/>
                <w:sz w:val="18"/>
                <w:szCs w:val="18"/>
              </w:rPr>
              <w:lastRenderedPageBreak/>
              <w:t xml:space="preserve">Toevoeging laatste zin artikel 20.1: </w:t>
            </w:r>
            <w:r w:rsidRPr="00285AA4">
              <w:rPr>
                <w:i/>
                <w:sz w:val="18"/>
                <w:szCs w:val="18"/>
              </w:rPr>
              <w:t>Voor de goede orde wordt hierbij nog bepaald dat dit artikel 20 zich niet uitstrekt over de bepalingen van de Lease Overeenkomst.</w:t>
            </w:r>
          </w:p>
          <w:p w:rsidR="00A91EA4" w:rsidRPr="00285AA4" w:rsidRDefault="00A91EA4" w:rsidP="00D909E4">
            <w:pPr>
              <w:pStyle w:val="LLDeedHeading2"/>
              <w:rPr>
                <w:i/>
                <w:sz w:val="18"/>
                <w:szCs w:val="18"/>
              </w:rPr>
            </w:pPr>
          </w:p>
        </w:tc>
        <w:tc>
          <w:tcPr>
            <w:tcW w:w="6717" w:type="dxa"/>
          </w:tcPr>
          <w:p w:rsidR="00285AA4" w:rsidRDefault="00BB3405" w:rsidP="00285AA4">
            <w:pPr>
              <w:tabs>
                <w:tab w:val="left" w:pos="2242"/>
              </w:tabs>
              <w:spacing w:after="240" w:line="280" w:lineRule="atLeast"/>
              <w:rPr>
                <w:rFonts w:cs="Arial"/>
                <w:sz w:val="18"/>
                <w:szCs w:val="18"/>
                <w:lang w:val="nl-NL"/>
              </w:rPr>
            </w:pPr>
            <w:r>
              <w:rPr>
                <w:rFonts w:cs="Arial"/>
                <w:sz w:val="18"/>
                <w:szCs w:val="18"/>
                <w:lang w:val="nl-NL"/>
              </w:rPr>
              <w:t>De Lease Overeenkomst zelf dient door deze akte geen goederenrechtelijk</w:t>
            </w:r>
            <w:r w:rsidR="000618F4">
              <w:rPr>
                <w:rFonts w:cs="Arial"/>
                <w:sz w:val="18"/>
                <w:szCs w:val="18"/>
                <w:lang w:val="nl-NL"/>
              </w:rPr>
              <w:t>e werking te verkrijgen.</w:t>
            </w:r>
          </w:p>
        </w:tc>
      </w:tr>
      <w:tr w:rsidR="000618F4" w:rsidRPr="00714C9C" w:rsidTr="00CC1D51">
        <w:trPr>
          <w:trHeight w:val="763"/>
        </w:trPr>
        <w:tc>
          <w:tcPr>
            <w:tcW w:w="6716" w:type="dxa"/>
          </w:tcPr>
          <w:p w:rsidR="000618F4" w:rsidRPr="00DB5AE8" w:rsidRDefault="000618F4" w:rsidP="00D909E4">
            <w:pPr>
              <w:tabs>
                <w:tab w:val="left" w:pos="567"/>
              </w:tabs>
              <w:spacing w:after="240" w:line="280" w:lineRule="atLeast"/>
              <w:ind w:left="567" w:hanging="567"/>
              <w:rPr>
                <w:i/>
                <w:sz w:val="18"/>
                <w:szCs w:val="18"/>
                <w:lang w:val="nl-NL"/>
              </w:rPr>
            </w:pPr>
            <w:r w:rsidRPr="00DB5AE8">
              <w:rPr>
                <w:i/>
                <w:sz w:val="18"/>
                <w:szCs w:val="18"/>
                <w:lang w:val="nl-NL"/>
              </w:rPr>
              <w:t xml:space="preserve">21.1. (b) de Hypotheekhouder Onroerende Zaak stemt in met het feit dat het zonnestroomsysteem is verhuurd op </w:t>
            </w:r>
            <w:r w:rsidR="007A6EAA">
              <w:rPr>
                <w:i/>
                <w:sz w:val="18"/>
                <w:szCs w:val="18"/>
                <w:lang w:val="nl-NL"/>
              </w:rPr>
              <w:t>grond van de Lease Overeenkomst.</w:t>
            </w:r>
          </w:p>
        </w:tc>
        <w:tc>
          <w:tcPr>
            <w:tcW w:w="6717" w:type="dxa"/>
          </w:tcPr>
          <w:p w:rsidR="000618F4" w:rsidRDefault="000618F4" w:rsidP="000618F4">
            <w:pPr>
              <w:tabs>
                <w:tab w:val="left" w:pos="2242"/>
              </w:tabs>
              <w:spacing w:after="240" w:line="280" w:lineRule="atLeast"/>
              <w:rPr>
                <w:rFonts w:cs="Arial"/>
                <w:sz w:val="18"/>
                <w:szCs w:val="18"/>
                <w:lang w:val="nl-NL"/>
              </w:rPr>
            </w:pPr>
            <w:r>
              <w:rPr>
                <w:rFonts w:cs="Arial"/>
                <w:sz w:val="18"/>
                <w:szCs w:val="18"/>
                <w:lang w:val="nl-NL"/>
              </w:rPr>
              <w:t>De hypotheekhouder ten aanzien van de onroerende zaak wordt ook gevraagd toestemming te verlenen</w:t>
            </w:r>
            <w:r w:rsidR="007A6EAA">
              <w:rPr>
                <w:rFonts w:cs="Arial"/>
                <w:sz w:val="18"/>
                <w:szCs w:val="18"/>
                <w:lang w:val="nl-NL"/>
              </w:rPr>
              <w:t xml:space="preserve"> aan de Lease Ov</w:t>
            </w:r>
            <w:r w:rsidR="00D72B87">
              <w:rPr>
                <w:rFonts w:cs="Arial"/>
                <w:sz w:val="18"/>
                <w:szCs w:val="18"/>
                <w:lang w:val="nl-NL"/>
              </w:rPr>
              <w:t>ereenkomst.</w:t>
            </w:r>
          </w:p>
        </w:tc>
      </w:tr>
      <w:tr w:rsidR="00285AA4" w:rsidRPr="00714C9C" w:rsidTr="00CC1D51">
        <w:trPr>
          <w:trHeight w:val="763"/>
        </w:trPr>
        <w:tc>
          <w:tcPr>
            <w:tcW w:w="6716" w:type="dxa"/>
          </w:tcPr>
          <w:p w:rsidR="00285AA4" w:rsidRPr="00D909E4" w:rsidRDefault="00285AA4" w:rsidP="00D909E4">
            <w:pPr>
              <w:pStyle w:val="LLDeedWhereas"/>
              <w:numPr>
                <w:ilvl w:val="0"/>
                <w:numId w:val="12"/>
              </w:numPr>
              <w:rPr>
                <w:i/>
                <w:sz w:val="18"/>
                <w:szCs w:val="18"/>
              </w:rPr>
            </w:pPr>
            <w:r w:rsidRPr="00D909E4">
              <w:rPr>
                <w:b/>
                <w:i/>
              </w:rPr>
              <w:t>FISCALE BEPALING</w:t>
            </w:r>
          </w:p>
        </w:tc>
        <w:tc>
          <w:tcPr>
            <w:tcW w:w="6717" w:type="dxa"/>
          </w:tcPr>
          <w:p w:rsidR="00285AA4" w:rsidRDefault="00BB3405" w:rsidP="00285AA4">
            <w:pPr>
              <w:tabs>
                <w:tab w:val="left" w:pos="2242"/>
              </w:tabs>
              <w:spacing w:after="240" w:line="280" w:lineRule="atLeast"/>
              <w:rPr>
                <w:rFonts w:cs="Arial"/>
                <w:sz w:val="18"/>
                <w:szCs w:val="18"/>
                <w:lang w:val="nl-NL"/>
              </w:rPr>
            </w:pPr>
            <w:r>
              <w:rPr>
                <w:rFonts w:cs="Arial"/>
                <w:sz w:val="18"/>
                <w:szCs w:val="18"/>
                <w:lang w:val="nl-NL"/>
              </w:rPr>
              <w:t xml:space="preserve">De fiscaliteit (overdrachtsbelasting en omzetbelasting) is ter advisering en beoordeling van de instrumenterend notaris. Ter zake wordt verwezen naar de toelichting op het basismodel. De onderhavige variant heeft met dezelfde onderwerpen te maken. Bij de onderhavige variant dient nog rekenschap gegeven te worden van de vraag hoe de </w:t>
            </w:r>
            <w:r w:rsidR="007A2247">
              <w:rPr>
                <w:rFonts w:cs="Arial"/>
                <w:sz w:val="18"/>
                <w:szCs w:val="18"/>
                <w:lang w:val="nl-NL"/>
              </w:rPr>
              <w:t>commerciële</w:t>
            </w:r>
            <w:r>
              <w:rPr>
                <w:rFonts w:cs="Arial"/>
                <w:sz w:val="18"/>
                <w:szCs w:val="18"/>
                <w:lang w:val="nl-NL"/>
              </w:rPr>
              <w:t xml:space="preserve"> afspraken</w:t>
            </w:r>
            <w:r w:rsidR="007A2247">
              <w:rPr>
                <w:rFonts w:cs="Arial"/>
                <w:sz w:val="18"/>
                <w:szCs w:val="18"/>
                <w:lang w:val="nl-NL"/>
              </w:rPr>
              <w:t xml:space="preserve"> van de </w:t>
            </w:r>
            <w:proofErr w:type="spellStart"/>
            <w:r w:rsidR="007A2247">
              <w:rPr>
                <w:rFonts w:cs="Arial"/>
                <w:sz w:val="18"/>
                <w:szCs w:val="18"/>
                <w:lang w:val="nl-NL"/>
              </w:rPr>
              <w:t>operational</w:t>
            </w:r>
            <w:proofErr w:type="spellEnd"/>
            <w:r w:rsidR="007A2247">
              <w:rPr>
                <w:rFonts w:cs="Arial"/>
                <w:sz w:val="18"/>
                <w:szCs w:val="18"/>
                <w:lang w:val="nl-NL"/>
              </w:rPr>
              <w:t xml:space="preserve"> lease invloed zouden kunnen hebben op de fiscale behandeling.</w:t>
            </w:r>
          </w:p>
          <w:p w:rsidR="007A2247" w:rsidRDefault="007A2247" w:rsidP="007A2247">
            <w:pPr>
              <w:tabs>
                <w:tab w:val="left" w:pos="2242"/>
              </w:tabs>
              <w:spacing w:after="240" w:line="280" w:lineRule="atLeast"/>
              <w:rPr>
                <w:rFonts w:cs="Arial"/>
                <w:sz w:val="18"/>
                <w:szCs w:val="18"/>
                <w:lang w:val="nl-NL"/>
              </w:rPr>
            </w:pPr>
            <w:r>
              <w:rPr>
                <w:rFonts w:cs="Arial"/>
                <w:sz w:val="18"/>
                <w:szCs w:val="18"/>
                <w:lang w:val="nl-NL"/>
              </w:rPr>
              <w:t xml:space="preserve">Zie ter informatie het opiniestuk van </w:t>
            </w:r>
            <w:r w:rsidRPr="007A2247">
              <w:rPr>
                <w:rFonts w:cs="Arial"/>
                <w:sz w:val="18"/>
                <w:szCs w:val="18"/>
                <w:lang w:val="nl-NL"/>
              </w:rPr>
              <w:t>prof.</w:t>
            </w:r>
            <w:r w:rsidR="000618F4">
              <w:rPr>
                <w:rFonts w:cs="Arial"/>
                <w:sz w:val="18"/>
                <w:szCs w:val="18"/>
                <w:lang w:val="nl-NL"/>
              </w:rPr>
              <w:t xml:space="preserve"> </w:t>
            </w:r>
            <w:r w:rsidRPr="007A2247">
              <w:rPr>
                <w:rFonts w:cs="Arial"/>
                <w:sz w:val="18"/>
                <w:szCs w:val="18"/>
                <w:lang w:val="nl-NL"/>
              </w:rPr>
              <w:t xml:space="preserve">dr. T.M. Berkhout </w:t>
            </w:r>
            <w:r>
              <w:rPr>
                <w:rFonts w:cs="Arial"/>
                <w:sz w:val="18"/>
                <w:szCs w:val="18"/>
                <w:lang w:val="nl-NL"/>
              </w:rPr>
              <w:t xml:space="preserve">waarin hij ingaat op een aantal onderdelen van de fiscale behandeling van het basismodel: </w:t>
            </w:r>
            <w:r w:rsidRPr="007A2247">
              <w:rPr>
                <w:rFonts w:cs="Arial"/>
                <w:sz w:val="18"/>
                <w:szCs w:val="18"/>
                <w:lang w:val="nl-NL"/>
              </w:rPr>
              <w:t>https://www.ndfr.nl/NTFR/Details/NTFR2019-1119</w:t>
            </w:r>
            <w:r w:rsidR="002D0DDA">
              <w:rPr>
                <w:rFonts w:cs="Arial"/>
                <w:sz w:val="18"/>
                <w:szCs w:val="18"/>
                <w:lang w:val="nl-NL"/>
              </w:rPr>
              <w:t>.</w:t>
            </w:r>
          </w:p>
        </w:tc>
      </w:tr>
      <w:tr w:rsidR="00285AA4" w:rsidRPr="00714C9C" w:rsidTr="00CC1D51">
        <w:trPr>
          <w:trHeight w:val="763"/>
        </w:trPr>
        <w:tc>
          <w:tcPr>
            <w:tcW w:w="6716" w:type="dxa"/>
          </w:tcPr>
          <w:p w:rsidR="00285AA4" w:rsidRDefault="00285AA4" w:rsidP="00D909E4">
            <w:pPr>
              <w:tabs>
                <w:tab w:val="left" w:pos="567"/>
              </w:tabs>
              <w:spacing w:after="240" w:line="280" w:lineRule="atLeast"/>
              <w:ind w:left="567" w:hanging="567"/>
              <w:rPr>
                <w:i/>
                <w:sz w:val="18"/>
                <w:szCs w:val="18"/>
              </w:rPr>
            </w:pPr>
            <w:r w:rsidRPr="000618F4">
              <w:rPr>
                <w:i/>
                <w:sz w:val="18"/>
                <w:szCs w:val="18"/>
                <w:lang w:val="nl-NL"/>
              </w:rPr>
              <w:t>25.1</w:t>
            </w:r>
            <w:r w:rsidRPr="000618F4">
              <w:rPr>
                <w:i/>
                <w:sz w:val="18"/>
                <w:szCs w:val="18"/>
                <w:lang w:val="nl-NL"/>
              </w:rPr>
              <w:tab/>
              <w:t xml:space="preserve">Deze akte bevat al hetgeen Partijen in verband met de vestiging van het Opstalrecht zijn overeengekomen. Met ingang van heden eindigen alle overeenkomsten en afspraken die Partijen daarover eerder mochten hebben gesloten respectievelijk gemaakt. Daaronder begrepen eventuele toestemmingen die ten aanzien van in artikel 15.1 genoemde rechtshandelingen zijn verleend. </w:t>
            </w:r>
            <w:proofErr w:type="spellStart"/>
            <w:r w:rsidRPr="00285AA4">
              <w:rPr>
                <w:i/>
                <w:sz w:val="18"/>
                <w:szCs w:val="18"/>
              </w:rPr>
              <w:t>Hiervan</w:t>
            </w:r>
            <w:proofErr w:type="spellEnd"/>
            <w:r w:rsidRPr="00285AA4">
              <w:rPr>
                <w:i/>
                <w:sz w:val="18"/>
                <w:szCs w:val="18"/>
              </w:rPr>
              <w:t xml:space="preserve"> </w:t>
            </w:r>
            <w:proofErr w:type="spellStart"/>
            <w:r w:rsidRPr="00285AA4">
              <w:rPr>
                <w:i/>
                <w:sz w:val="18"/>
                <w:szCs w:val="18"/>
              </w:rPr>
              <w:t>uitgezonderd</w:t>
            </w:r>
            <w:proofErr w:type="spellEnd"/>
            <w:r w:rsidRPr="00285AA4">
              <w:rPr>
                <w:i/>
                <w:sz w:val="18"/>
                <w:szCs w:val="18"/>
              </w:rPr>
              <w:t xml:space="preserve"> de Lease Overeenkomst.</w:t>
            </w:r>
          </w:p>
        </w:tc>
        <w:tc>
          <w:tcPr>
            <w:tcW w:w="6717" w:type="dxa"/>
          </w:tcPr>
          <w:p w:rsidR="00285AA4" w:rsidRDefault="007A2247" w:rsidP="00285AA4">
            <w:pPr>
              <w:tabs>
                <w:tab w:val="left" w:pos="2242"/>
              </w:tabs>
              <w:spacing w:after="240" w:line="280" w:lineRule="atLeast"/>
              <w:rPr>
                <w:rFonts w:cs="Arial"/>
                <w:sz w:val="18"/>
                <w:szCs w:val="18"/>
                <w:lang w:val="nl-NL"/>
              </w:rPr>
            </w:pPr>
            <w:r>
              <w:rPr>
                <w:rFonts w:cs="Arial"/>
                <w:sz w:val="18"/>
                <w:szCs w:val="18"/>
                <w:lang w:val="nl-NL"/>
              </w:rPr>
              <w:t>Vanzelfsprekend is de Lease Overeenkomst uitgezonder</w:t>
            </w:r>
            <w:r w:rsidR="000618F4">
              <w:rPr>
                <w:rFonts w:cs="Arial"/>
                <w:sz w:val="18"/>
                <w:szCs w:val="18"/>
                <w:lang w:val="nl-NL"/>
              </w:rPr>
              <w:t>d</w:t>
            </w:r>
            <w:r>
              <w:rPr>
                <w:rFonts w:cs="Arial"/>
                <w:sz w:val="18"/>
                <w:szCs w:val="18"/>
                <w:lang w:val="nl-NL"/>
              </w:rPr>
              <w:t xml:space="preserve"> van deze algemene clausule.</w:t>
            </w:r>
          </w:p>
        </w:tc>
      </w:tr>
    </w:tbl>
    <w:p w:rsidR="00FC717A" w:rsidRPr="007512CE" w:rsidRDefault="00FC717A" w:rsidP="00E34E57">
      <w:pPr>
        <w:spacing w:after="240" w:line="280" w:lineRule="atLeast"/>
        <w:rPr>
          <w:rFonts w:cs="Arial"/>
          <w:sz w:val="18"/>
          <w:szCs w:val="18"/>
          <w:lang w:val="nl-NL"/>
        </w:rPr>
      </w:pPr>
    </w:p>
    <w:sectPr w:rsidR="00FC717A" w:rsidRPr="007512CE" w:rsidSect="00733AF4">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953" w:rsidRDefault="009E1953" w:rsidP="004F77CE">
      <w:pPr>
        <w:spacing w:after="0" w:line="240" w:lineRule="auto"/>
      </w:pPr>
      <w:r>
        <w:separator/>
      </w:r>
    </w:p>
  </w:endnote>
  <w:endnote w:type="continuationSeparator" w:id="0">
    <w:p w:rsidR="009E1953" w:rsidRDefault="009E1953" w:rsidP="004F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6E" w:rsidRDefault="00FE7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176514"/>
      <w:docPartObj>
        <w:docPartGallery w:val="Page Numbers (Bottom of Page)"/>
        <w:docPartUnique/>
      </w:docPartObj>
    </w:sdtPr>
    <w:sdtEndPr>
      <w:rPr>
        <w:noProof/>
      </w:rPr>
    </w:sdtEndPr>
    <w:sdtContent>
      <w:p w:rsidR="002747D6" w:rsidRDefault="002747D6">
        <w:pPr>
          <w:pStyle w:val="Footer"/>
          <w:jc w:val="right"/>
        </w:pPr>
        <w:r>
          <w:fldChar w:fldCharType="begin"/>
        </w:r>
        <w:r>
          <w:instrText xml:space="preserve"> PAGE   \* MERGEFORMAT </w:instrText>
        </w:r>
        <w:r>
          <w:fldChar w:fldCharType="separate"/>
        </w:r>
        <w:r w:rsidR="00714C9C">
          <w:rPr>
            <w:noProof/>
          </w:rPr>
          <w:t>1</w:t>
        </w:r>
        <w:r>
          <w:rPr>
            <w:noProof/>
          </w:rPr>
          <w:fldChar w:fldCharType="end"/>
        </w:r>
      </w:p>
    </w:sdtContent>
  </w:sdt>
  <w:p w:rsidR="002747D6" w:rsidRPr="00E8445A" w:rsidRDefault="004C1529" w:rsidP="004F77CE">
    <w:pPr>
      <w:pStyle w:val="Footer"/>
      <w:rPr>
        <w:b/>
        <w:sz w:val="16"/>
        <w:szCs w:val="16"/>
        <w:lang w:val="nl-NL"/>
      </w:rPr>
    </w:pPr>
    <w:r>
      <w:rPr>
        <w:b/>
        <w:sz w:val="16"/>
        <w:szCs w:val="16"/>
        <w:lang w:val="nl-NL"/>
      </w:rPr>
      <w:t>#30493086</w:t>
    </w:r>
    <w:r w:rsidR="002747D6">
      <w:rPr>
        <w:b/>
        <w:sz w:val="16"/>
        <w:szCs w:val="16"/>
        <w:lang w:val="nl-NL"/>
      </w:rPr>
      <w:t>-v</w:t>
    </w:r>
    <w:r w:rsidR="00714C9C">
      <w:rPr>
        <w:b/>
        <w:sz w:val="16"/>
        <w:szCs w:val="16"/>
        <w:lang w:val="nl-NL"/>
      </w:rPr>
      <w:t>3</w:t>
    </w:r>
  </w:p>
  <w:p w:rsidR="002747D6" w:rsidRPr="00E8445A" w:rsidRDefault="002747D6" w:rsidP="004F77CE">
    <w:pPr>
      <w:pStyle w:val="Footer"/>
      <w:rPr>
        <w:b/>
        <w:sz w:val="16"/>
        <w:szCs w:val="16"/>
        <w:lang w:val="nl-NL"/>
      </w:rPr>
    </w:pPr>
    <w:r w:rsidRPr="00E8445A">
      <w:rPr>
        <w:b/>
        <w:sz w:val="16"/>
        <w:szCs w:val="16"/>
        <w:lang w:val="nl-NL"/>
      </w:rPr>
      <w:t xml:space="preserve">Uitsluitend bestemd voor </w:t>
    </w:r>
    <w:r w:rsidR="00714C9C">
      <w:rPr>
        <w:b/>
        <w:sz w:val="16"/>
        <w:szCs w:val="16"/>
        <w:lang w:val="nl-NL"/>
      </w:rPr>
      <w:t>informatie doeleinden. Hieraan kunnen geen rechten worden ontleend.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6E" w:rsidRDefault="00FE7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953" w:rsidRDefault="009E1953" w:rsidP="004F77CE">
      <w:pPr>
        <w:spacing w:after="0" w:line="240" w:lineRule="auto"/>
      </w:pPr>
      <w:r>
        <w:separator/>
      </w:r>
    </w:p>
  </w:footnote>
  <w:footnote w:type="continuationSeparator" w:id="0">
    <w:p w:rsidR="009E1953" w:rsidRDefault="009E1953" w:rsidP="004F7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6E" w:rsidRDefault="00FE73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7D6" w:rsidRPr="00714C9C" w:rsidRDefault="00B0539C">
    <w:pPr>
      <w:pStyle w:val="Header"/>
      <w:rPr>
        <w:b/>
        <w:sz w:val="14"/>
        <w:lang w:val="nl-NL"/>
      </w:rPr>
    </w:pPr>
    <w:r w:rsidRPr="00714C9C">
      <w:rPr>
        <w:b/>
        <w:sz w:val="14"/>
        <w:lang w:val="nl-NL"/>
      </w:rPr>
      <w:t>NOOT: DOCUMENT</w:t>
    </w:r>
    <w:r w:rsidR="00714C9C" w:rsidRPr="00714C9C">
      <w:rPr>
        <w:b/>
        <w:sz w:val="14"/>
        <w:lang w:val="nl-NL"/>
      </w:rPr>
      <w:t xml:space="preserve"> DAT VAN TIJD TOT TIJD WIJZIGT.</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6E" w:rsidRDefault="00FE7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231"/>
    <w:multiLevelType w:val="multilevel"/>
    <w:tmpl w:val="0B9CBEF0"/>
    <w:name w:val="LL_DeedWhereAs"/>
    <w:lvl w:ilvl="0">
      <w:start w:val="2"/>
      <w:numFmt w:val="upperLetter"/>
      <w:pStyle w:val="LLDeedWhereas"/>
      <w:lvlText w:val="(%1)"/>
      <w:lvlJc w:val="left"/>
      <w:pPr>
        <w:tabs>
          <w:tab w:val="num" w:pos="567"/>
        </w:tabs>
        <w:ind w:left="567" w:hanging="567"/>
      </w:pPr>
      <w:rPr>
        <w:rFonts w:hint="default"/>
        <w:b/>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1C2E49B4"/>
    <w:multiLevelType w:val="hybridMultilevel"/>
    <w:tmpl w:val="9F54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02169"/>
    <w:multiLevelType w:val="hybridMultilevel"/>
    <w:tmpl w:val="97B811C6"/>
    <w:lvl w:ilvl="0" w:tplc="28BE49B6">
      <w:start w:val="1"/>
      <w:numFmt w:val="decimal"/>
      <w:lvlText w:val="%1."/>
      <w:lvlJc w:val="left"/>
      <w:pPr>
        <w:ind w:left="644" w:hanging="360"/>
      </w:pPr>
      <w:rPr>
        <w:rFonts w:hint="default"/>
        <w:b/>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9C03C81"/>
    <w:multiLevelType w:val="multilevel"/>
    <w:tmpl w:val="D95AF850"/>
    <w:lvl w:ilvl="0">
      <w:start w:val="1"/>
      <w:numFmt w:val="lowerLetter"/>
      <w:pStyle w:val="LLDeedNumIndenta"/>
      <w:lvlText w:val="(%1)"/>
      <w:lvlJc w:val="left"/>
      <w:pPr>
        <w:tabs>
          <w:tab w:val="num" w:pos="1134"/>
        </w:tabs>
        <w:ind w:left="1134" w:hanging="567"/>
      </w:pPr>
      <w:rPr>
        <w:rFonts w:hint="default"/>
        <w:b w:val="0"/>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nsid w:val="663834A3"/>
    <w:multiLevelType w:val="multilevel"/>
    <w:tmpl w:val="80F0FEB4"/>
    <w:name w:val="opsommingOVK"/>
    <w:lvl w:ilvl="0">
      <w:start w:val="1"/>
      <w:numFmt w:val="decimal"/>
      <w:pStyle w:val="bkOpsomming1OVK"/>
      <w:lvlText w:val="%1"/>
      <w:lvlJc w:val="left"/>
      <w:pPr>
        <w:tabs>
          <w:tab w:val="num" w:pos="720"/>
        </w:tabs>
        <w:ind w:left="720" w:hanging="720"/>
      </w:pPr>
      <w:rPr>
        <w:rFonts w:ascii="Arial" w:hAnsi="Arial" w:cs="Times New Roman" w:hint="default"/>
        <w:b/>
        <w:i w:val="0"/>
        <w:sz w:val="20"/>
      </w:rPr>
    </w:lvl>
    <w:lvl w:ilvl="1">
      <w:start w:val="1"/>
      <w:numFmt w:val="decimal"/>
      <w:pStyle w:val="bkOpsomming2OVK"/>
      <w:lvlText w:val="%1.%2"/>
      <w:lvlJc w:val="left"/>
      <w:pPr>
        <w:tabs>
          <w:tab w:val="num" w:pos="720"/>
        </w:tabs>
        <w:ind w:left="720" w:hanging="720"/>
      </w:pPr>
    </w:lvl>
    <w:lvl w:ilvl="2">
      <w:start w:val="1"/>
      <w:numFmt w:val="lowerLetter"/>
      <w:pStyle w:val="bkOpsomming3OVK"/>
      <w:lvlText w:val="%3."/>
      <w:lvlJc w:val="left"/>
      <w:pPr>
        <w:tabs>
          <w:tab w:val="num" w:pos="1077"/>
        </w:tabs>
        <w:ind w:left="1080" w:hanging="360"/>
      </w:pPr>
    </w:lvl>
    <w:lvl w:ilvl="3">
      <w:start w:val="1"/>
      <w:numFmt w:val="lowerRoman"/>
      <w:pStyle w:val="bkOpsomming4OVK"/>
      <w:lvlText w:val="(%4)"/>
      <w:lvlJc w:val="left"/>
      <w:pPr>
        <w:tabs>
          <w:tab w:val="num" w:pos="1440"/>
        </w:tabs>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FAB37A2"/>
    <w:multiLevelType w:val="multilevel"/>
    <w:tmpl w:val="EECCC83A"/>
    <w:name w:val="LL_DeedHeadings"/>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tabs>
          <w:tab w:val="num" w:pos="567"/>
        </w:tabs>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nsid w:val="7967442B"/>
    <w:multiLevelType w:val="multilevel"/>
    <w:tmpl w:val="C70A4524"/>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18"/>
      </w:rPr>
    </w:lvl>
    <w:lvl w:ilvl="2">
      <w:start w:val="1"/>
      <w:numFmt w:val="decimal"/>
      <w:isLgl/>
      <w:lvlText w:val="%1.%2.%3"/>
      <w:lvlJc w:val="left"/>
      <w:pPr>
        <w:ind w:left="1080" w:hanging="720"/>
      </w:pPr>
      <w:rPr>
        <w:rFonts w:ascii="Arial" w:hAnsi="Arial" w:cs="Arial" w:hint="default"/>
        <w:sz w:val="18"/>
      </w:rPr>
    </w:lvl>
    <w:lvl w:ilvl="3">
      <w:start w:val="1"/>
      <w:numFmt w:val="decimal"/>
      <w:isLgl/>
      <w:lvlText w:val="%1.%2.%3.%4"/>
      <w:lvlJc w:val="left"/>
      <w:pPr>
        <w:ind w:left="1080" w:hanging="720"/>
      </w:pPr>
      <w:rPr>
        <w:rFonts w:ascii="Arial" w:hAnsi="Arial" w:cs="Arial" w:hint="default"/>
        <w:sz w:val="18"/>
      </w:rPr>
    </w:lvl>
    <w:lvl w:ilvl="4">
      <w:start w:val="1"/>
      <w:numFmt w:val="decimal"/>
      <w:isLgl/>
      <w:lvlText w:val="%1.%2.%3.%4.%5"/>
      <w:lvlJc w:val="left"/>
      <w:pPr>
        <w:ind w:left="1440" w:hanging="1080"/>
      </w:pPr>
      <w:rPr>
        <w:rFonts w:ascii="Arial" w:hAnsi="Arial" w:cs="Arial" w:hint="default"/>
        <w:sz w:val="18"/>
      </w:rPr>
    </w:lvl>
    <w:lvl w:ilvl="5">
      <w:start w:val="1"/>
      <w:numFmt w:val="decimal"/>
      <w:isLgl/>
      <w:lvlText w:val="%1.%2.%3.%4.%5.%6"/>
      <w:lvlJc w:val="left"/>
      <w:pPr>
        <w:ind w:left="1440" w:hanging="1080"/>
      </w:pPr>
      <w:rPr>
        <w:rFonts w:ascii="Arial" w:hAnsi="Arial" w:cs="Arial" w:hint="default"/>
        <w:sz w:val="18"/>
      </w:rPr>
    </w:lvl>
    <w:lvl w:ilvl="6">
      <w:start w:val="1"/>
      <w:numFmt w:val="decimal"/>
      <w:isLgl/>
      <w:lvlText w:val="%1.%2.%3.%4.%5.%6.%7"/>
      <w:lvlJc w:val="left"/>
      <w:pPr>
        <w:ind w:left="1800" w:hanging="1440"/>
      </w:pPr>
      <w:rPr>
        <w:rFonts w:ascii="Arial" w:hAnsi="Arial" w:cs="Arial" w:hint="default"/>
        <w:sz w:val="18"/>
      </w:rPr>
    </w:lvl>
    <w:lvl w:ilvl="7">
      <w:start w:val="1"/>
      <w:numFmt w:val="decimal"/>
      <w:isLgl/>
      <w:lvlText w:val="%1.%2.%3.%4.%5.%6.%7.%8"/>
      <w:lvlJc w:val="left"/>
      <w:pPr>
        <w:ind w:left="1800" w:hanging="1440"/>
      </w:pPr>
      <w:rPr>
        <w:rFonts w:ascii="Arial" w:hAnsi="Arial" w:cs="Arial" w:hint="default"/>
        <w:sz w:val="18"/>
      </w:rPr>
    </w:lvl>
    <w:lvl w:ilvl="8">
      <w:start w:val="1"/>
      <w:numFmt w:val="decimal"/>
      <w:isLgl/>
      <w:lvlText w:val="%1.%2.%3.%4.%5.%6.%7.%8.%9"/>
      <w:lvlJc w:val="left"/>
      <w:pPr>
        <w:ind w:left="2160" w:hanging="1800"/>
      </w:pPr>
      <w:rPr>
        <w:rFonts w:ascii="Arial" w:hAnsi="Arial" w:cs="Arial" w:hint="default"/>
        <w:sz w:val="18"/>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3"/>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F4"/>
    <w:rsid w:val="000221D1"/>
    <w:rsid w:val="00057338"/>
    <w:rsid w:val="000618F4"/>
    <w:rsid w:val="00071137"/>
    <w:rsid w:val="00075D83"/>
    <w:rsid w:val="00081102"/>
    <w:rsid w:val="00082233"/>
    <w:rsid w:val="000871EB"/>
    <w:rsid w:val="0009304C"/>
    <w:rsid w:val="000B1571"/>
    <w:rsid w:val="00123279"/>
    <w:rsid w:val="00187F13"/>
    <w:rsid w:val="001A413A"/>
    <w:rsid w:val="001B6209"/>
    <w:rsid w:val="001C08DA"/>
    <w:rsid w:val="001D6E9B"/>
    <w:rsid w:val="001F3AF7"/>
    <w:rsid w:val="002140EF"/>
    <w:rsid w:val="00222B47"/>
    <w:rsid w:val="00226651"/>
    <w:rsid w:val="00246C82"/>
    <w:rsid w:val="00251DF5"/>
    <w:rsid w:val="0026268C"/>
    <w:rsid w:val="00262EEC"/>
    <w:rsid w:val="0027367A"/>
    <w:rsid w:val="002747D6"/>
    <w:rsid w:val="0027527A"/>
    <w:rsid w:val="00285AA4"/>
    <w:rsid w:val="0029454C"/>
    <w:rsid w:val="002B34B8"/>
    <w:rsid w:val="002B6D15"/>
    <w:rsid w:val="002C3FCD"/>
    <w:rsid w:val="002D0DDA"/>
    <w:rsid w:val="002F2C03"/>
    <w:rsid w:val="003303BD"/>
    <w:rsid w:val="0033557B"/>
    <w:rsid w:val="00337FB5"/>
    <w:rsid w:val="003406EB"/>
    <w:rsid w:val="00351A50"/>
    <w:rsid w:val="003569DC"/>
    <w:rsid w:val="00367BFA"/>
    <w:rsid w:val="00390919"/>
    <w:rsid w:val="0039358C"/>
    <w:rsid w:val="003A33CC"/>
    <w:rsid w:val="003B0DB2"/>
    <w:rsid w:val="003D0911"/>
    <w:rsid w:val="003D1879"/>
    <w:rsid w:val="003D4657"/>
    <w:rsid w:val="004008CB"/>
    <w:rsid w:val="0040110D"/>
    <w:rsid w:val="0043744F"/>
    <w:rsid w:val="00443642"/>
    <w:rsid w:val="0044430A"/>
    <w:rsid w:val="00445F8B"/>
    <w:rsid w:val="00447A87"/>
    <w:rsid w:val="00464944"/>
    <w:rsid w:val="00484469"/>
    <w:rsid w:val="004B3D61"/>
    <w:rsid w:val="004C1529"/>
    <w:rsid w:val="004C7BD2"/>
    <w:rsid w:val="004F77CE"/>
    <w:rsid w:val="0056278A"/>
    <w:rsid w:val="00564642"/>
    <w:rsid w:val="005A797D"/>
    <w:rsid w:val="005B5BD7"/>
    <w:rsid w:val="005C1279"/>
    <w:rsid w:val="005E0DF2"/>
    <w:rsid w:val="005F4D4C"/>
    <w:rsid w:val="00624C93"/>
    <w:rsid w:val="006317BF"/>
    <w:rsid w:val="00631F70"/>
    <w:rsid w:val="00636084"/>
    <w:rsid w:val="006605CD"/>
    <w:rsid w:val="00686C0C"/>
    <w:rsid w:val="006A03D6"/>
    <w:rsid w:val="006A75E1"/>
    <w:rsid w:val="006C098F"/>
    <w:rsid w:val="006E7792"/>
    <w:rsid w:val="006E77D7"/>
    <w:rsid w:val="007025FF"/>
    <w:rsid w:val="00714C9C"/>
    <w:rsid w:val="0071528C"/>
    <w:rsid w:val="00716037"/>
    <w:rsid w:val="0071792E"/>
    <w:rsid w:val="0072358E"/>
    <w:rsid w:val="00733AF4"/>
    <w:rsid w:val="007512CE"/>
    <w:rsid w:val="00774971"/>
    <w:rsid w:val="007925D5"/>
    <w:rsid w:val="00795C41"/>
    <w:rsid w:val="007961DA"/>
    <w:rsid w:val="007A2247"/>
    <w:rsid w:val="007A6EAA"/>
    <w:rsid w:val="007C3C5F"/>
    <w:rsid w:val="007D3126"/>
    <w:rsid w:val="007D3C89"/>
    <w:rsid w:val="007F01C9"/>
    <w:rsid w:val="00805AAD"/>
    <w:rsid w:val="008113F7"/>
    <w:rsid w:val="008233FD"/>
    <w:rsid w:val="00826C7D"/>
    <w:rsid w:val="0084299C"/>
    <w:rsid w:val="00843A60"/>
    <w:rsid w:val="00852718"/>
    <w:rsid w:val="00876042"/>
    <w:rsid w:val="0088184C"/>
    <w:rsid w:val="008B57C6"/>
    <w:rsid w:val="008F17D7"/>
    <w:rsid w:val="008F6F42"/>
    <w:rsid w:val="0090541E"/>
    <w:rsid w:val="00924A15"/>
    <w:rsid w:val="00925308"/>
    <w:rsid w:val="00941E04"/>
    <w:rsid w:val="0094422A"/>
    <w:rsid w:val="0099024E"/>
    <w:rsid w:val="009A6857"/>
    <w:rsid w:val="009B578E"/>
    <w:rsid w:val="009C3DE1"/>
    <w:rsid w:val="009D3D11"/>
    <w:rsid w:val="009D498C"/>
    <w:rsid w:val="009D528B"/>
    <w:rsid w:val="009E1953"/>
    <w:rsid w:val="009F6259"/>
    <w:rsid w:val="00A421FA"/>
    <w:rsid w:val="00A443E2"/>
    <w:rsid w:val="00A46E9D"/>
    <w:rsid w:val="00A7202A"/>
    <w:rsid w:val="00A8188A"/>
    <w:rsid w:val="00A91EA4"/>
    <w:rsid w:val="00AA2F92"/>
    <w:rsid w:val="00AD03EA"/>
    <w:rsid w:val="00AD3AB6"/>
    <w:rsid w:val="00B0441C"/>
    <w:rsid w:val="00B0539C"/>
    <w:rsid w:val="00B65707"/>
    <w:rsid w:val="00BB2F07"/>
    <w:rsid w:val="00BB3405"/>
    <w:rsid w:val="00BC26B4"/>
    <w:rsid w:val="00BD2BEB"/>
    <w:rsid w:val="00C14EE1"/>
    <w:rsid w:val="00C37A5A"/>
    <w:rsid w:val="00C46EFA"/>
    <w:rsid w:val="00CC1D51"/>
    <w:rsid w:val="00CE0A96"/>
    <w:rsid w:val="00D72B87"/>
    <w:rsid w:val="00D909E4"/>
    <w:rsid w:val="00DA5E4C"/>
    <w:rsid w:val="00DB3BBB"/>
    <w:rsid w:val="00DB4DDE"/>
    <w:rsid w:val="00DB5AE8"/>
    <w:rsid w:val="00DD70BD"/>
    <w:rsid w:val="00DE5E7E"/>
    <w:rsid w:val="00E14C60"/>
    <w:rsid w:val="00E274F9"/>
    <w:rsid w:val="00E34E57"/>
    <w:rsid w:val="00E51259"/>
    <w:rsid w:val="00E55A4A"/>
    <w:rsid w:val="00E8445A"/>
    <w:rsid w:val="00EA3D37"/>
    <w:rsid w:val="00EF6EC3"/>
    <w:rsid w:val="00F13133"/>
    <w:rsid w:val="00F31361"/>
    <w:rsid w:val="00F400EE"/>
    <w:rsid w:val="00F42F3B"/>
    <w:rsid w:val="00F432EB"/>
    <w:rsid w:val="00F45E2D"/>
    <w:rsid w:val="00F56C84"/>
    <w:rsid w:val="00F9389E"/>
    <w:rsid w:val="00F9588F"/>
    <w:rsid w:val="00FA6DEE"/>
    <w:rsid w:val="00FC717A"/>
    <w:rsid w:val="00FD1D90"/>
    <w:rsid w:val="00FE1FD4"/>
    <w:rsid w:val="00FE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40110D"/>
    <w:pPr>
      <w:keepNext/>
      <w:keepLines/>
      <w:spacing w:before="200" w:after="0"/>
      <w:outlineLvl w:val="4"/>
    </w:pPr>
    <w:rPr>
      <w:rFonts w:asciiTheme="majorHAnsi" w:eastAsiaTheme="majorEastAsia" w:hAnsiTheme="majorHAnsi" w:cstheme="majorBidi"/>
      <w:color w:val="031A3C" w:themeColor="accent1" w:themeShade="7F"/>
    </w:rPr>
  </w:style>
  <w:style w:type="paragraph" w:styleId="Heading6">
    <w:name w:val="heading 6"/>
    <w:basedOn w:val="Heading5"/>
    <w:next w:val="Normal"/>
    <w:link w:val="Heading6Char"/>
    <w:qFormat/>
    <w:rsid w:val="0040110D"/>
    <w:pPr>
      <w:keepLines w:val="0"/>
      <w:suppressAutoHyphens/>
      <w:spacing w:before="240" w:after="60" w:line="280" w:lineRule="atLeast"/>
      <w:outlineLvl w:val="5"/>
    </w:pPr>
    <w:rPr>
      <w:rFonts w:ascii="Cambria" w:eastAsiaTheme="minorHAnsi" w:hAnsi="Cambria" w:cstheme="minorBidi"/>
      <w:b/>
      <w:bCs/>
      <w:i/>
      <w:color w:val="auto"/>
      <w:sz w:val="26"/>
      <w:szCs w:val="26"/>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CE"/>
  </w:style>
  <w:style w:type="paragraph" w:styleId="Footer">
    <w:name w:val="footer"/>
    <w:basedOn w:val="Normal"/>
    <w:link w:val="FooterChar"/>
    <w:uiPriority w:val="99"/>
    <w:unhideWhenUsed/>
    <w:rsid w:val="004F7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CE"/>
  </w:style>
  <w:style w:type="paragraph" w:styleId="ListParagraph">
    <w:name w:val="List Paragraph"/>
    <w:basedOn w:val="Normal"/>
    <w:uiPriority w:val="34"/>
    <w:qFormat/>
    <w:rsid w:val="00A7202A"/>
    <w:pPr>
      <w:ind w:left="720"/>
      <w:contextualSpacing/>
    </w:pPr>
  </w:style>
  <w:style w:type="paragraph" w:customStyle="1" w:styleId="bkOpsomming1OVK">
    <w:name w:val="bkOpsomming1OVK"/>
    <w:basedOn w:val="Normal"/>
    <w:next w:val="Normal"/>
    <w:qFormat/>
    <w:rsid w:val="003406EB"/>
    <w:pPr>
      <w:numPr>
        <w:numId w:val="2"/>
      </w:numPr>
      <w:spacing w:after="260" w:line="260" w:lineRule="atLeast"/>
      <w:jc w:val="both"/>
      <w:outlineLvl w:val="0"/>
    </w:pPr>
    <w:rPr>
      <w:rFonts w:eastAsiaTheme="minorHAnsi" w:cstheme="minorBidi"/>
      <w:b/>
      <w:lang w:val="nl-NL"/>
    </w:rPr>
  </w:style>
  <w:style w:type="paragraph" w:customStyle="1" w:styleId="bkOpsomming2OVK">
    <w:name w:val="bkOpsomming2OVK"/>
    <w:basedOn w:val="Normal"/>
    <w:qFormat/>
    <w:rsid w:val="003406EB"/>
    <w:pPr>
      <w:numPr>
        <w:ilvl w:val="1"/>
        <w:numId w:val="2"/>
      </w:numPr>
      <w:spacing w:after="260" w:line="260" w:lineRule="atLeast"/>
      <w:jc w:val="both"/>
      <w:outlineLvl w:val="1"/>
    </w:pPr>
    <w:rPr>
      <w:rFonts w:eastAsiaTheme="minorHAnsi" w:cstheme="minorBidi"/>
      <w:lang w:val="nl-NL"/>
    </w:rPr>
  </w:style>
  <w:style w:type="paragraph" w:customStyle="1" w:styleId="bkOpsomming3OVK">
    <w:name w:val="bkOpsomming3OVK"/>
    <w:basedOn w:val="Normal"/>
    <w:next w:val="Normal"/>
    <w:qFormat/>
    <w:rsid w:val="003406EB"/>
    <w:pPr>
      <w:numPr>
        <w:ilvl w:val="2"/>
        <w:numId w:val="2"/>
      </w:numPr>
      <w:spacing w:after="260" w:line="260" w:lineRule="atLeast"/>
      <w:jc w:val="both"/>
      <w:outlineLvl w:val="2"/>
    </w:pPr>
    <w:rPr>
      <w:rFonts w:eastAsiaTheme="minorHAnsi" w:cstheme="minorBidi"/>
      <w:lang w:val="nl-NL"/>
    </w:rPr>
  </w:style>
  <w:style w:type="paragraph" w:customStyle="1" w:styleId="bkOpsomming4OVK">
    <w:name w:val="bkOpsomming4OVK"/>
    <w:basedOn w:val="Normal"/>
    <w:next w:val="Normal"/>
    <w:qFormat/>
    <w:rsid w:val="003406EB"/>
    <w:pPr>
      <w:numPr>
        <w:ilvl w:val="3"/>
        <w:numId w:val="2"/>
      </w:numPr>
      <w:spacing w:after="260" w:line="260" w:lineRule="atLeast"/>
      <w:jc w:val="both"/>
      <w:outlineLvl w:val="3"/>
    </w:pPr>
    <w:rPr>
      <w:rFonts w:eastAsiaTheme="minorHAnsi" w:cstheme="minorBidi"/>
      <w:lang w:val="nl-NL"/>
    </w:rPr>
  </w:style>
  <w:style w:type="paragraph" w:customStyle="1" w:styleId="LLDeedHeading2">
    <w:name w:val="LL_DeedHeading2"/>
    <w:basedOn w:val="Normal"/>
    <w:qFormat/>
    <w:rsid w:val="00443642"/>
    <w:pPr>
      <w:widowControl w:val="0"/>
      <w:suppressAutoHyphens/>
      <w:spacing w:after="0" w:line="280" w:lineRule="atLeast"/>
    </w:pPr>
    <w:rPr>
      <w:rFonts w:eastAsiaTheme="minorHAnsi" w:cstheme="minorBidi"/>
      <w:lang w:val="nl-NL"/>
    </w:rPr>
  </w:style>
  <w:style w:type="paragraph" w:customStyle="1" w:styleId="LLDeedHeading">
    <w:name w:val="LL_DeedHeading"/>
    <w:basedOn w:val="Normal"/>
    <w:qFormat/>
    <w:rsid w:val="0094422A"/>
    <w:pPr>
      <w:widowControl w:val="0"/>
      <w:tabs>
        <w:tab w:val="num" w:pos="567"/>
      </w:tabs>
      <w:suppressAutoHyphens/>
      <w:spacing w:after="0" w:line="280" w:lineRule="atLeast"/>
      <w:ind w:left="567" w:hanging="567"/>
    </w:pPr>
    <w:rPr>
      <w:rFonts w:eastAsiaTheme="minorHAnsi" w:cstheme="minorBidi"/>
      <w:b/>
      <w:lang w:val="nl-NL"/>
    </w:rPr>
  </w:style>
  <w:style w:type="paragraph" w:customStyle="1" w:styleId="LLDeedHeading3">
    <w:name w:val="LL_DeedHeading3"/>
    <w:basedOn w:val="Normal"/>
    <w:qFormat/>
    <w:rsid w:val="0094422A"/>
    <w:pPr>
      <w:widowControl w:val="0"/>
      <w:tabs>
        <w:tab w:val="num" w:pos="567"/>
      </w:tabs>
      <w:suppressAutoHyphens/>
      <w:spacing w:after="0" w:line="280" w:lineRule="atLeast"/>
      <w:ind w:left="567" w:hanging="567"/>
    </w:pPr>
    <w:rPr>
      <w:rFonts w:eastAsiaTheme="minorHAnsi" w:cstheme="minorBidi"/>
      <w:lang w:val="nl-NL"/>
    </w:rPr>
  </w:style>
  <w:style w:type="character" w:customStyle="1" w:styleId="Heading6Char">
    <w:name w:val="Heading 6 Char"/>
    <w:basedOn w:val="DefaultParagraphFont"/>
    <w:link w:val="Heading6"/>
    <w:rsid w:val="0040110D"/>
    <w:rPr>
      <w:rFonts w:ascii="Cambria" w:eastAsiaTheme="minorHAnsi" w:hAnsi="Cambria" w:cstheme="minorBidi"/>
      <w:b/>
      <w:bCs/>
      <w:i/>
      <w:sz w:val="26"/>
      <w:szCs w:val="26"/>
      <w:lang w:val="nl-NL" w:eastAsia="x-none"/>
    </w:rPr>
  </w:style>
  <w:style w:type="paragraph" w:customStyle="1" w:styleId="LLDeedNormalIndent">
    <w:name w:val="LL_DeedNormalIndent"/>
    <w:basedOn w:val="Normal"/>
    <w:qFormat/>
    <w:rsid w:val="0040110D"/>
    <w:pPr>
      <w:widowControl w:val="0"/>
      <w:tabs>
        <w:tab w:val="left" w:pos="567"/>
      </w:tabs>
      <w:suppressAutoHyphens/>
      <w:spacing w:after="0" w:line="280" w:lineRule="atLeast"/>
      <w:ind w:left="567"/>
    </w:pPr>
    <w:rPr>
      <w:rFonts w:eastAsiaTheme="minorHAnsi" w:cstheme="minorBidi"/>
      <w:lang w:val="nl-NL"/>
    </w:rPr>
  </w:style>
  <w:style w:type="character" w:customStyle="1" w:styleId="Heading5Char">
    <w:name w:val="Heading 5 Char"/>
    <w:basedOn w:val="DefaultParagraphFont"/>
    <w:link w:val="Heading5"/>
    <w:uiPriority w:val="9"/>
    <w:semiHidden/>
    <w:rsid w:val="0040110D"/>
    <w:rPr>
      <w:rFonts w:asciiTheme="majorHAnsi" w:eastAsiaTheme="majorEastAsia" w:hAnsiTheme="majorHAnsi" w:cstheme="majorBidi"/>
      <w:color w:val="031A3C" w:themeColor="accent1" w:themeShade="7F"/>
    </w:rPr>
  </w:style>
  <w:style w:type="paragraph" w:customStyle="1" w:styleId="LLDeedNormal">
    <w:name w:val="LL_DeedNormal"/>
    <w:basedOn w:val="Normal"/>
    <w:qFormat/>
    <w:rsid w:val="00EF6EC3"/>
    <w:pPr>
      <w:widowControl w:val="0"/>
      <w:suppressAutoHyphens/>
      <w:spacing w:after="0" w:line="280" w:lineRule="atLeast"/>
    </w:pPr>
    <w:rPr>
      <w:rFonts w:eastAsiaTheme="minorHAnsi" w:cstheme="minorBidi"/>
      <w:lang w:val="nl-NL"/>
    </w:rPr>
  </w:style>
  <w:style w:type="paragraph" w:customStyle="1" w:styleId="LLDeedNumIndenta">
    <w:name w:val="LL_DeedNumIndent(a)"/>
    <w:basedOn w:val="LLDeedNormal"/>
    <w:qFormat/>
    <w:rsid w:val="00EF6EC3"/>
    <w:pPr>
      <w:numPr>
        <w:numId w:val="6"/>
      </w:numPr>
    </w:pPr>
  </w:style>
  <w:style w:type="paragraph" w:customStyle="1" w:styleId="LLDeedWhereas">
    <w:name w:val="LL_DeedWhereas"/>
    <w:basedOn w:val="LLDeedNormal"/>
    <w:qFormat/>
    <w:rsid w:val="00EF6EC3"/>
    <w:pPr>
      <w:numPr>
        <w:numId w:val="7"/>
      </w:numPr>
    </w:pPr>
  </w:style>
  <w:style w:type="paragraph" w:styleId="BalloonText">
    <w:name w:val="Balloon Text"/>
    <w:basedOn w:val="Normal"/>
    <w:link w:val="BalloonTextChar"/>
    <w:uiPriority w:val="99"/>
    <w:semiHidden/>
    <w:unhideWhenUsed/>
    <w:rsid w:val="00B05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40110D"/>
    <w:pPr>
      <w:keepNext/>
      <w:keepLines/>
      <w:spacing w:before="200" w:after="0"/>
      <w:outlineLvl w:val="4"/>
    </w:pPr>
    <w:rPr>
      <w:rFonts w:asciiTheme="majorHAnsi" w:eastAsiaTheme="majorEastAsia" w:hAnsiTheme="majorHAnsi" w:cstheme="majorBidi"/>
      <w:color w:val="031A3C" w:themeColor="accent1" w:themeShade="7F"/>
    </w:rPr>
  </w:style>
  <w:style w:type="paragraph" w:styleId="Heading6">
    <w:name w:val="heading 6"/>
    <w:basedOn w:val="Heading5"/>
    <w:next w:val="Normal"/>
    <w:link w:val="Heading6Char"/>
    <w:qFormat/>
    <w:rsid w:val="0040110D"/>
    <w:pPr>
      <w:keepLines w:val="0"/>
      <w:suppressAutoHyphens/>
      <w:spacing w:before="240" w:after="60" w:line="280" w:lineRule="atLeast"/>
      <w:outlineLvl w:val="5"/>
    </w:pPr>
    <w:rPr>
      <w:rFonts w:ascii="Cambria" w:eastAsiaTheme="minorHAnsi" w:hAnsi="Cambria" w:cstheme="minorBidi"/>
      <w:b/>
      <w:bCs/>
      <w:i/>
      <w:color w:val="auto"/>
      <w:sz w:val="26"/>
      <w:szCs w:val="26"/>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7CE"/>
  </w:style>
  <w:style w:type="paragraph" w:styleId="Footer">
    <w:name w:val="footer"/>
    <w:basedOn w:val="Normal"/>
    <w:link w:val="FooterChar"/>
    <w:uiPriority w:val="99"/>
    <w:unhideWhenUsed/>
    <w:rsid w:val="004F7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7CE"/>
  </w:style>
  <w:style w:type="paragraph" w:styleId="ListParagraph">
    <w:name w:val="List Paragraph"/>
    <w:basedOn w:val="Normal"/>
    <w:uiPriority w:val="34"/>
    <w:qFormat/>
    <w:rsid w:val="00A7202A"/>
    <w:pPr>
      <w:ind w:left="720"/>
      <w:contextualSpacing/>
    </w:pPr>
  </w:style>
  <w:style w:type="paragraph" w:customStyle="1" w:styleId="bkOpsomming1OVK">
    <w:name w:val="bkOpsomming1OVK"/>
    <w:basedOn w:val="Normal"/>
    <w:next w:val="Normal"/>
    <w:qFormat/>
    <w:rsid w:val="003406EB"/>
    <w:pPr>
      <w:numPr>
        <w:numId w:val="2"/>
      </w:numPr>
      <w:spacing w:after="260" w:line="260" w:lineRule="atLeast"/>
      <w:jc w:val="both"/>
      <w:outlineLvl w:val="0"/>
    </w:pPr>
    <w:rPr>
      <w:rFonts w:eastAsiaTheme="minorHAnsi" w:cstheme="minorBidi"/>
      <w:b/>
      <w:lang w:val="nl-NL"/>
    </w:rPr>
  </w:style>
  <w:style w:type="paragraph" w:customStyle="1" w:styleId="bkOpsomming2OVK">
    <w:name w:val="bkOpsomming2OVK"/>
    <w:basedOn w:val="Normal"/>
    <w:qFormat/>
    <w:rsid w:val="003406EB"/>
    <w:pPr>
      <w:numPr>
        <w:ilvl w:val="1"/>
        <w:numId w:val="2"/>
      </w:numPr>
      <w:spacing w:after="260" w:line="260" w:lineRule="atLeast"/>
      <w:jc w:val="both"/>
      <w:outlineLvl w:val="1"/>
    </w:pPr>
    <w:rPr>
      <w:rFonts w:eastAsiaTheme="minorHAnsi" w:cstheme="minorBidi"/>
      <w:lang w:val="nl-NL"/>
    </w:rPr>
  </w:style>
  <w:style w:type="paragraph" w:customStyle="1" w:styleId="bkOpsomming3OVK">
    <w:name w:val="bkOpsomming3OVK"/>
    <w:basedOn w:val="Normal"/>
    <w:next w:val="Normal"/>
    <w:qFormat/>
    <w:rsid w:val="003406EB"/>
    <w:pPr>
      <w:numPr>
        <w:ilvl w:val="2"/>
        <w:numId w:val="2"/>
      </w:numPr>
      <w:spacing w:after="260" w:line="260" w:lineRule="atLeast"/>
      <w:jc w:val="both"/>
      <w:outlineLvl w:val="2"/>
    </w:pPr>
    <w:rPr>
      <w:rFonts w:eastAsiaTheme="minorHAnsi" w:cstheme="minorBidi"/>
      <w:lang w:val="nl-NL"/>
    </w:rPr>
  </w:style>
  <w:style w:type="paragraph" w:customStyle="1" w:styleId="bkOpsomming4OVK">
    <w:name w:val="bkOpsomming4OVK"/>
    <w:basedOn w:val="Normal"/>
    <w:next w:val="Normal"/>
    <w:qFormat/>
    <w:rsid w:val="003406EB"/>
    <w:pPr>
      <w:numPr>
        <w:ilvl w:val="3"/>
        <w:numId w:val="2"/>
      </w:numPr>
      <w:spacing w:after="260" w:line="260" w:lineRule="atLeast"/>
      <w:jc w:val="both"/>
      <w:outlineLvl w:val="3"/>
    </w:pPr>
    <w:rPr>
      <w:rFonts w:eastAsiaTheme="minorHAnsi" w:cstheme="minorBidi"/>
      <w:lang w:val="nl-NL"/>
    </w:rPr>
  </w:style>
  <w:style w:type="paragraph" w:customStyle="1" w:styleId="LLDeedHeading2">
    <w:name w:val="LL_DeedHeading2"/>
    <w:basedOn w:val="Normal"/>
    <w:qFormat/>
    <w:rsid w:val="00443642"/>
    <w:pPr>
      <w:widowControl w:val="0"/>
      <w:suppressAutoHyphens/>
      <w:spacing w:after="0" w:line="280" w:lineRule="atLeast"/>
    </w:pPr>
    <w:rPr>
      <w:rFonts w:eastAsiaTheme="minorHAnsi" w:cstheme="minorBidi"/>
      <w:lang w:val="nl-NL"/>
    </w:rPr>
  </w:style>
  <w:style w:type="paragraph" w:customStyle="1" w:styleId="LLDeedHeading">
    <w:name w:val="LL_DeedHeading"/>
    <w:basedOn w:val="Normal"/>
    <w:qFormat/>
    <w:rsid w:val="0094422A"/>
    <w:pPr>
      <w:widowControl w:val="0"/>
      <w:tabs>
        <w:tab w:val="num" w:pos="567"/>
      </w:tabs>
      <w:suppressAutoHyphens/>
      <w:spacing w:after="0" w:line="280" w:lineRule="atLeast"/>
      <w:ind w:left="567" w:hanging="567"/>
    </w:pPr>
    <w:rPr>
      <w:rFonts w:eastAsiaTheme="minorHAnsi" w:cstheme="minorBidi"/>
      <w:b/>
      <w:lang w:val="nl-NL"/>
    </w:rPr>
  </w:style>
  <w:style w:type="paragraph" w:customStyle="1" w:styleId="LLDeedHeading3">
    <w:name w:val="LL_DeedHeading3"/>
    <w:basedOn w:val="Normal"/>
    <w:qFormat/>
    <w:rsid w:val="0094422A"/>
    <w:pPr>
      <w:widowControl w:val="0"/>
      <w:tabs>
        <w:tab w:val="num" w:pos="567"/>
      </w:tabs>
      <w:suppressAutoHyphens/>
      <w:spacing w:after="0" w:line="280" w:lineRule="atLeast"/>
      <w:ind w:left="567" w:hanging="567"/>
    </w:pPr>
    <w:rPr>
      <w:rFonts w:eastAsiaTheme="minorHAnsi" w:cstheme="minorBidi"/>
      <w:lang w:val="nl-NL"/>
    </w:rPr>
  </w:style>
  <w:style w:type="character" w:customStyle="1" w:styleId="Heading6Char">
    <w:name w:val="Heading 6 Char"/>
    <w:basedOn w:val="DefaultParagraphFont"/>
    <w:link w:val="Heading6"/>
    <w:rsid w:val="0040110D"/>
    <w:rPr>
      <w:rFonts w:ascii="Cambria" w:eastAsiaTheme="minorHAnsi" w:hAnsi="Cambria" w:cstheme="minorBidi"/>
      <w:b/>
      <w:bCs/>
      <w:i/>
      <w:sz w:val="26"/>
      <w:szCs w:val="26"/>
      <w:lang w:val="nl-NL" w:eastAsia="x-none"/>
    </w:rPr>
  </w:style>
  <w:style w:type="paragraph" w:customStyle="1" w:styleId="LLDeedNormalIndent">
    <w:name w:val="LL_DeedNormalIndent"/>
    <w:basedOn w:val="Normal"/>
    <w:qFormat/>
    <w:rsid w:val="0040110D"/>
    <w:pPr>
      <w:widowControl w:val="0"/>
      <w:tabs>
        <w:tab w:val="left" w:pos="567"/>
      </w:tabs>
      <w:suppressAutoHyphens/>
      <w:spacing w:after="0" w:line="280" w:lineRule="atLeast"/>
      <w:ind w:left="567"/>
    </w:pPr>
    <w:rPr>
      <w:rFonts w:eastAsiaTheme="minorHAnsi" w:cstheme="minorBidi"/>
      <w:lang w:val="nl-NL"/>
    </w:rPr>
  </w:style>
  <w:style w:type="character" w:customStyle="1" w:styleId="Heading5Char">
    <w:name w:val="Heading 5 Char"/>
    <w:basedOn w:val="DefaultParagraphFont"/>
    <w:link w:val="Heading5"/>
    <w:uiPriority w:val="9"/>
    <w:semiHidden/>
    <w:rsid w:val="0040110D"/>
    <w:rPr>
      <w:rFonts w:asciiTheme="majorHAnsi" w:eastAsiaTheme="majorEastAsia" w:hAnsiTheme="majorHAnsi" w:cstheme="majorBidi"/>
      <w:color w:val="031A3C" w:themeColor="accent1" w:themeShade="7F"/>
    </w:rPr>
  </w:style>
  <w:style w:type="paragraph" w:customStyle="1" w:styleId="LLDeedNormal">
    <w:name w:val="LL_DeedNormal"/>
    <w:basedOn w:val="Normal"/>
    <w:qFormat/>
    <w:rsid w:val="00EF6EC3"/>
    <w:pPr>
      <w:widowControl w:val="0"/>
      <w:suppressAutoHyphens/>
      <w:spacing w:after="0" w:line="280" w:lineRule="atLeast"/>
    </w:pPr>
    <w:rPr>
      <w:rFonts w:eastAsiaTheme="minorHAnsi" w:cstheme="minorBidi"/>
      <w:lang w:val="nl-NL"/>
    </w:rPr>
  </w:style>
  <w:style w:type="paragraph" w:customStyle="1" w:styleId="LLDeedNumIndenta">
    <w:name w:val="LL_DeedNumIndent(a)"/>
    <w:basedOn w:val="LLDeedNormal"/>
    <w:qFormat/>
    <w:rsid w:val="00EF6EC3"/>
    <w:pPr>
      <w:numPr>
        <w:numId w:val="6"/>
      </w:numPr>
    </w:pPr>
  </w:style>
  <w:style w:type="paragraph" w:customStyle="1" w:styleId="LLDeedWhereas">
    <w:name w:val="LL_DeedWhereas"/>
    <w:basedOn w:val="LLDeedNormal"/>
    <w:qFormat/>
    <w:rsid w:val="00EF6EC3"/>
    <w:pPr>
      <w:numPr>
        <w:numId w:val="7"/>
      </w:numPr>
    </w:pPr>
  </w:style>
  <w:style w:type="paragraph" w:styleId="BalloonText">
    <w:name w:val="Balloon Text"/>
    <w:basedOn w:val="Normal"/>
    <w:link w:val="BalloonTextChar"/>
    <w:uiPriority w:val="99"/>
    <w:semiHidden/>
    <w:unhideWhenUsed/>
    <w:rsid w:val="00B05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3799">
      <w:bodyDiv w:val="1"/>
      <w:marLeft w:val="0"/>
      <w:marRight w:val="0"/>
      <w:marTop w:val="0"/>
      <w:marBottom w:val="0"/>
      <w:divBdr>
        <w:top w:val="none" w:sz="0" w:space="0" w:color="auto"/>
        <w:left w:val="none" w:sz="0" w:space="0" w:color="auto"/>
        <w:bottom w:val="none" w:sz="0" w:space="0" w:color="auto"/>
        <w:right w:val="none" w:sz="0" w:space="0" w:color="auto"/>
      </w:divBdr>
    </w:div>
    <w:div w:id="110713025">
      <w:bodyDiv w:val="1"/>
      <w:marLeft w:val="0"/>
      <w:marRight w:val="0"/>
      <w:marTop w:val="0"/>
      <w:marBottom w:val="0"/>
      <w:divBdr>
        <w:top w:val="none" w:sz="0" w:space="0" w:color="auto"/>
        <w:left w:val="none" w:sz="0" w:space="0" w:color="auto"/>
        <w:bottom w:val="none" w:sz="0" w:space="0" w:color="auto"/>
        <w:right w:val="none" w:sz="0" w:space="0" w:color="auto"/>
      </w:divBdr>
    </w:div>
    <w:div w:id="1334261385">
      <w:bodyDiv w:val="1"/>
      <w:marLeft w:val="0"/>
      <w:marRight w:val="0"/>
      <w:marTop w:val="0"/>
      <w:marBottom w:val="0"/>
      <w:divBdr>
        <w:top w:val="none" w:sz="0" w:space="0" w:color="auto"/>
        <w:left w:val="none" w:sz="0" w:space="0" w:color="auto"/>
        <w:bottom w:val="none" w:sz="0" w:space="0" w:color="auto"/>
        <w:right w:val="none" w:sz="0" w:space="0" w:color="auto"/>
      </w:divBdr>
      <w:divsChild>
        <w:div w:id="1514146075">
          <w:marLeft w:val="0"/>
          <w:marRight w:val="0"/>
          <w:marTop w:val="0"/>
          <w:marBottom w:val="0"/>
          <w:divBdr>
            <w:top w:val="none" w:sz="0" w:space="0" w:color="auto"/>
            <w:left w:val="none" w:sz="0" w:space="0" w:color="auto"/>
            <w:bottom w:val="none" w:sz="0" w:space="0" w:color="auto"/>
            <w:right w:val="none" w:sz="0" w:space="0" w:color="auto"/>
          </w:divBdr>
          <w:divsChild>
            <w:div w:id="1846942314">
              <w:marLeft w:val="-225"/>
              <w:marRight w:val="-225"/>
              <w:marTop w:val="0"/>
              <w:marBottom w:val="0"/>
              <w:divBdr>
                <w:top w:val="none" w:sz="0" w:space="0" w:color="auto"/>
                <w:left w:val="none" w:sz="0" w:space="0" w:color="auto"/>
                <w:bottom w:val="none" w:sz="0" w:space="0" w:color="auto"/>
                <w:right w:val="none" w:sz="0" w:space="0" w:color="auto"/>
              </w:divBdr>
              <w:divsChild>
                <w:div w:id="1656030404">
                  <w:marLeft w:val="0"/>
                  <w:marRight w:val="0"/>
                  <w:marTop w:val="0"/>
                  <w:marBottom w:val="0"/>
                  <w:divBdr>
                    <w:top w:val="none" w:sz="0" w:space="0" w:color="auto"/>
                    <w:left w:val="none" w:sz="0" w:space="0" w:color="auto"/>
                    <w:bottom w:val="none" w:sz="0" w:space="0" w:color="auto"/>
                    <w:right w:val="none" w:sz="0" w:space="0" w:color="auto"/>
                  </w:divBdr>
                  <w:divsChild>
                    <w:div w:id="713654193">
                      <w:marLeft w:val="0"/>
                      <w:marRight w:val="0"/>
                      <w:marTop w:val="0"/>
                      <w:marBottom w:val="0"/>
                      <w:divBdr>
                        <w:top w:val="none" w:sz="0" w:space="0" w:color="auto"/>
                        <w:left w:val="none" w:sz="0" w:space="0" w:color="auto"/>
                        <w:bottom w:val="none" w:sz="0" w:space="0" w:color="auto"/>
                        <w:right w:val="none" w:sz="0" w:space="0" w:color="auto"/>
                      </w:divBdr>
                      <w:divsChild>
                        <w:div w:id="959142906">
                          <w:marLeft w:val="0"/>
                          <w:marRight w:val="0"/>
                          <w:marTop w:val="0"/>
                          <w:marBottom w:val="0"/>
                          <w:divBdr>
                            <w:top w:val="none" w:sz="0" w:space="0" w:color="auto"/>
                            <w:left w:val="none" w:sz="0" w:space="0" w:color="auto"/>
                            <w:bottom w:val="none" w:sz="0" w:space="0" w:color="auto"/>
                            <w:right w:val="none" w:sz="0" w:space="0" w:color="auto"/>
                          </w:divBdr>
                          <w:divsChild>
                            <w:div w:id="1921062721">
                              <w:marLeft w:val="0"/>
                              <w:marRight w:val="0"/>
                              <w:marTop w:val="0"/>
                              <w:marBottom w:val="0"/>
                              <w:divBdr>
                                <w:top w:val="none" w:sz="0" w:space="0" w:color="auto"/>
                                <w:left w:val="none" w:sz="0" w:space="0" w:color="auto"/>
                                <w:bottom w:val="none" w:sz="0" w:space="0" w:color="auto"/>
                                <w:right w:val="none" w:sz="0" w:space="0" w:color="auto"/>
                              </w:divBdr>
                              <w:divsChild>
                                <w:div w:id="5492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71681">
      <w:bodyDiv w:val="1"/>
      <w:marLeft w:val="0"/>
      <w:marRight w:val="0"/>
      <w:marTop w:val="0"/>
      <w:marBottom w:val="0"/>
      <w:divBdr>
        <w:top w:val="none" w:sz="0" w:space="0" w:color="auto"/>
        <w:left w:val="none" w:sz="0" w:space="0" w:color="auto"/>
        <w:bottom w:val="none" w:sz="0" w:space="0" w:color="auto"/>
        <w:right w:val="none" w:sz="0" w:space="0" w:color="auto"/>
      </w:divBdr>
    </w:div>
    <w:div w:id="17759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Theme3">
  <a:themeElements>
    <a:clrScheme name="Custom 1">
      <a:dk1>
        <a:srgbClr val="000000"/>
      </a:dk1>
      <a:lt1>
        <a:sysClr val="window" lastClr="FFFFFF"/>
      </a:lt1>
      <a:dk2>
        <a:srgbClr val="4D4D4F"/>
      </a:dk2>
      <a:lt2>
        <a:srgbClr val="06357A"/>
      </a:lt2>
      <a:accent1>
        <a:srgbClr val="06357A"/>
      </a:accent1>
      <a:accent2>
        <a:srgbClr val="00A2E0"/>
      </a:accent2>
      <a:accent3>
        <a:srgbClr val="80D1F0"/>
      </a:accent3>
      <a:accent4>
        <a:srgbClr val="7F7F7F"/>
      </a:accent4>
      <a:accent5>
        <a:srgbClr val="B6B6B6"/>
      </a:accent5>
      <a:accent6>
        <a:srgbClr val="D8D8D8"/>
      </a:accent6>
      <a:hlink>
        <a:srgbClr val="06357A"/>
      </a:hlink>
      <a:folHlink>
        <a:srgbClr val="5285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lIns="72000" tIns="72000" rIns="72000" bIns="72000" rtlCol="0" anchor="ctr"/>
      <a:lstStyle>
        <a:defPPr algn="ctr">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2000" dirty="0" err="1" smtClean="0">
            <a:solidFill>
              <a:schemeClr val="tx2"/>
            </a:solidFill>
          </a:defRPr>
        </a:defPPr>
      </a:lstStyle>
    </a:txDef>
  </a:objectDefaults>
  <a:extraClrSchemeLst/>
  <a:custClrLst>
    <a:custClr name="Green">
      <a:srgbClr val="00A18E"/>
    </a:custClr>
    <a:custClr name="Pink">
      <a:srgbClr val="ED037C"/>
    </a:custClr>
    <a:custClr name="Moss green">
      <a:srgbClr val="909B5B"/>
    </a:custClr>
    <a:custClr name="Purple">
      <a:srgbClr val="A45580"/>
    </a:custClr>
    <a:custClr name="Grey blue">
      <a:srgbClr val="52859C"/>
    </a:custClr>
    <a:custClr name="Red">
      <a:srgbClr val="EF4135"/>
    </a:custClr>
    <a:custClr name="Amber">
      <a:srgbClr val="AA6E28"/>
    </a:custClr>
    <a:custClr name="Dark red">
      <a:srgbClr val="911D45"/>
    </a:custClr>
    <a:custClr name="Yellow">
      <a:srgbClr val="EAC600"/>
    </a:custClr>
    <a:custClr name="White">
      <a:srgbClr val="FFFFFF"/>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2020-01-31T11:15:00Z</dcterms:created>
  <dcterms:modified xsi:type="dcterms:W3CDTF">2020-01-31T11:15:00Z</dcterms:modified>
</cp:coreProperties>
</file>